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2800E" w14:textId="77777777" w:rsidR="0086795C" w:rsidRDefault="0086795C" w:rsidP="0086795C">
      <w:pPr>
        <w:spacing w:after="160"/>
        <w:jc w:val="center"/>
      </w:pPr>
      <w:r>
        <w:rPr>
          <w:b/>
          <w:bCs/>
          <w:sz w:val="28"/>
          <w:szCs w:val="28"/>
        </w:rPr>
        <w:t>Quality Management Processes and Product Innovation Productivity in Malaysia’s Semiconductor Industry: The Moderating Roles of Market Unfairness, Policy Support and Competitive Intensity</w:t>
      </w:r>
    </w:p>
    <w:p w14:paraId="55775208" w14:textId="77777777" w:rsidR="0086795C" w:rsidRDefault="0086795C" w:rsidP="0086795C">
      <w:pPr>
        <w:spacing w:after="40"/>
        <w:jc w:val="center"/>
        <w:rPr>
          <w:sz w:val="20"/>
          <w:szCs w:val="20"/>
        </w:rPr>
      </w:pPr>
      <w:r w:rsidRPr="006D46BD">
        <w:rPr>
          <w:b/>
          <w:bCs/>
          <w:sz w:val="20"/>
          <w:szCs w:val="20"/>
        </w:rPr>
        <w:t>Poornisha Subbanna, Siri Roland Xavier*</w:t>
      </w:r>
    </w:p>
    <w:p w14:paraId="5D92D88B" w14:textId="77777777" w:rsidR="0086795C" w:rsidRPr="006D46BD" w:rsidRDefault="0086795C" w:rsidP="0086795C">
      <w:pPr>
        <w:spacing w:after="40"/>
        <w:jc w:val="center"/>
        <w:rPr>
          <w:sz w:val="20"/>
          <w:szCs w:val="20"/>
        </w:rPr>
      </w:pPr>
      <w:r>
        <w:rPr>
          <w:sz w:val="20"/>
          <w:szCs w:val="20"/>
        </w:rPr>
        <w:t>Tun Razak Graduate School of Business, Universiti Tun Abdul Razak (UNIRAZAK), Kuala Lumpur, Malaysia</w:t>
      </w:r>
    </w:p>
    <w:p w14:paraId="658A2BF4" w14:textId="77777777" w:rsidR="0086795C" w:rsidRDefault="0086795C" w:rsidP="0086795C">
      <w:pPr>
        <w:spacing w:after="80"/>
      </w:pPr>
      <w:r>
        <w:rPr>
          <w:b/>
          <w:bCs/>
        </w:rPr>
        <w:t>ABSTRACT</w:t>
      </w:r>
    </w:p>
    <w:p w14:paraId="00C51938" w14:textId="77777777" w:rsidR="0086795C" w:rsidRDefault="0086795C" w:rsidP="0086795C">
      <w:pPr>
        <w:spacing w:after="160"/>
        <w:jc w:val="both"/>
      </w:pPr>
      <w:r>
        <w:t>This study examines how quality management processes (QMP) drive product innovation productivity (PIP) among semiconductor manufacturing firms in Malaysia, and whether this relationship is contingent on the transitional conditions of market unfairness, policy support and competitive intensity. Grounded in the quality management and contingency literatures, a structural model was developed and tested using covariance-based structural equation modelling on survey data from 222 firms analysed in AMOS 29.0. The results show that QMP has a strong, positive and significant effect on PIP, confirming that systematic quality practices function as an antecedent of innovation rather than merely a control mechanism. The relationship is largely robust to the external environment, with one important exception: market unfairness significantly weakens the QMP–PIP link, whereas policy support and competitive intensity exert no significant moderating effect. The findings suggest that quality-driven innovation in Malaysia depends chiefly on firms’ internal, explorative implementation of QMP rather than on institutional support, and that protecting innovation returns from imitation and infringement is essential. Implications for managers and industry policy are discussed.</w:t>
      </w:r>
    </w:p>
    <w:p w14:paraId="24652A33" w14:textId="77777777" w:rsidR="0086795C" w:rsidRDefault="0086795C" w:rsidP="0086795C">
      <w:pPr>
        <w:spacing w:after="200"/>
        <w:jc w:val="both"/>
      </w:pPr>
      <w:r>
        <w:rPr>
          <w:b/>
          <w:bCs/>
          <w:sz w:val="20"/>
          <w:szCs w:val="20"/>
        </w:rPr>
        <w:t xml:space="preserve">Keywords: </w:t>
      </w:r>
      <w:r>
        <w:rPr>
          <w:sz w:val="20"/>
          <w:szCs w:val="20"/>
        </w:rPr>
        <w:t>market unfairness, product innovation productivity, quality management processes, semiconductor industry, structural equation modelling</w:t>
      </w:r>
    </w:p>
    <w:p w14:paraId="5810AA7D" w14:textId="77777777" w:rsidR="0086795C" w:rsidRDefault="0086795C" w:rsidP="0086795C">
      <w:pPr>
        <w:pStyle w:val="Heading1"/>
      </w:pPr>
      <w:r>
        <w:t>1. INTRODUCTION</w:t>
      </w:r>
    </w:p>
    <w:p w14:paraId="12695917" w14:textId="77777777" w:rsidR="0086795C" w:rsidRDefault="0086795C" w:rsidP="0086795C">
      <w:pPr>
        <w:jc w:val="both"/>
      </w:pPr>
      <w:r>
        <w:t>Malaysia occupies a strategic position in the global semiconductor value chain, contributing a significant share of the world’s chip assembly, testing and packaging capacity. Yet the sustainability of this position is increasingly in question. Malaysian firms remain concentrated in lower-value back-end activities, depend heavily on foreign multinationals, and confront intensifying competition from regional rivals and an increasingly self-sufficient China. In this environment, the capacity to convert effort into successful new products, product innovation productivity (PIP), has become central to the industry’s long-term competitiveness.</w:t>
      </w:r>
    </w:p>
    <w:p w14:paraId="6E8B70CA" w14:textId="77777777" w:rsidR="0086795C" w:rsidRDefault="0086795C" w:rsidP="0086795C">
      <w:pPr>
        <w:ind w:firstLine="567"/>
        <w:jc w:val="both"/>
      </w:pPr>
      <w:r>
        <w:t>Quality management has long been associated with operational excellence, but a growing stream of research argues that it is also an antecedent of innovation. Quality management processes (QMP), encompassing leadership, strategic planning, customer focus, information and analysis, people management and process management, cultivate the organisational learning and absorptive capacity from which innovation springs. QMP is widely diffused among Malaysian manufacturers, making its innovation consequences both practically and theoretically important. However, the link between QMP and PIP is unlikely to be unconditional. Malaysian firms operate in a transitional environment marked by market unfairness, discretionary policy support and fierce competition, conditions that may amplify or erode the innovation returns to quality investments.</w:t>
      </w:r>
    </w:p>
    <w:p w14:paraId="7672E061" w14:textId="77777777" w:rsidR="0086795C" w:rsidRDefault="0086795C" w:rsidP="0086795C">
      <w:pPr>
        <w:ind w:firstLine="567"/>
        <w:jc w:val="both"/>
      </w:pPr>
      <w:r>
        <w:t xml:space="preserve">Against this backdrop, the study addresses two questions. First, does QMP significantly enhance PIP among Malaysian semiconductor firms? Second, do managers’ perceptions of market unfairness, policy support and competitive intensity moderate this relationship? Answering these </w:t>
      </w:r>
      <w:r>
        <w:lastRenderedPageBreak/>
        <w:t>questions contributes to the quality management–innovation debate and offers evidence-based guidance for managers and policymakers seeking to strengthen the innovation performance of a strategically vital industry.</w:t>
      </w:r>
    </w:p>
    <w:p w14:paraId="3016D1C4" w14:textId="77777777" w:rsidR="0086795C" w:rsidRDefault="0086795C" w:rsidP="0086795C">
      <w:pPr>
        <w:pStyle w:val="Heading1"/>
      </w:pPr>
      <w:r>
        <w:t>2. LITERATURE REVIEW AND HYPOTHESES</w:t>
      </w:r>
    </w:p>
    <w:p w14:paraId="767A0EA9" w14:textId="77777777" w:rsidR="0086795C" w:rsidRDefault="0086795C" w:rsidP="0086795C">
      <w:pPr>
        <w:pStyle w:val="Heading2"/>
      </w:pPr>
      <w:r>
        <w:t>2.1 Quality Management Processes and Innovation</w:t>
      </w:r>
    </w:p>
    <w:p w14:paraId="43916E05" w14:textId="77777777" w:rsidR="0086795C" w:rsidRDefault="0086795C" w:rsidP="0086795C">
      <w:pPr>
        <w:jc w:val="both"/>
      </w:pPr>
      <w:r>
        <w:t>Quality management processes represent an interrelated system of practices rooted in the philosophy of continuous improvement (Deming, 1986; Saraph et al., 1989; Montgomery, 2020). Traditionally viewed as a means of reducing variation and defects, QMP has increasingly been recognised as a driver of innovation. By systematically resolving quality problems, deepening customer understanding and institutionalising learning, QMP develops the absorptive, adaptive and innovative capabilities that underpin new-product development (</w:t>
      </w:r>
      <w:proofErr w:type="spellStart"/>
      <w:r>
        <w:t>Prajogo</w:t>
      </w:r>
      <w:proofErr w:type="spellEnd"/>
      <w:r>
        <w:t xml:space="preserve"> &amp; Hong, 2008; Zhang et al., 2012; El </w:t>
      </w:r>
      <w:proofErr w:type="spellStart"/>
      <w:r>
        <w:t>Manzani</w:t>
      </w:r>
      <w:proofErr w:type="spellEnd"/>
      <w:r>
        <w:t xml:space="preserve"> et al., 2023). Recent studies in emerging economies broadly support a positive QMP–innovation relationship (Ramayah et al., 2020; Yusr et al., 2022; </w:t>
      </w:r>
      <w:proofErr w:type="spellStart"/>
      <w:r>
        <w:t>AlQershi</w:t>
      </w:r>
      <w:proofErr w:type="spellEnd"/>
      <w:r>
        <w:t xml:space="preserve"> et al., 2023; Mukhtar et al., 2024).</w:t>
      </w:r>
    </w:p>
    <w:p w14:paraId="3D367CA0" w14:textId="77777777" w:rsidR="0086795C" w:rsidRDefault="0086795C" w:rsidP="0086795C">
      <w:pPr>
        <w:ind w:firstLine="567"/>
        <w:jc w:val="both"/>
      </w:pPr>
      <w:r>
        <w:t>A key nuance in this literature is that QMP can be implemented in either an exploitative mode, emphasising control and efficiency, or an explorative mode, emphasising learning and experimentation (Moreno-</w:t>
      </w:r>
      <w:proofErr w:type="spellStart"/>
      <w:r>
        <w:t>Luzón</w:t>
      </w:r>
      <w:proofErr w:type="spellEnd"/>
      <w:r>
        <w:t xml:space="preserve"> et al., 2013). When firms treat quality feedback as a source of new knowledge, QMP fosters a culture of organisational learning that translates into improved innovation outcomes. This reasoning leads to the study’s central direct hypothesis:</w:t>
      </w:r>
    </w:p>
    <w:p w14:paraId="6E57D28D" w14:textId="77777777" w:rsidR="0086795C" w:rsidRDefault="0086795C" w:rsidP="0086795C">
      <w:pPr>
        <w:ind w:firstLine="567"/>
        <w:jc w:val="both"/>
      </w:pPr>
      <w:r>
        <w:rPr>
          <w:b/>
          <w:bCs/>
        </w:rPr>
        <w:t xml:space="preserve">H1: </w:t>
      </w:r>
      <w:r>
        <w:rPr>
          <w:i/>
          <w:iCs/>
        </w:rPr>
        <w:t>A firm’s level of quality management processes has a positive and significant relationship with its product innovation productivity.</w:t>
      </w:r>
    </w:p>
    <w:p w14:paraId="3A354F8D" w14:textId="77777777" w:rsidR="0086795C" w:rsidRDefault="0086795C" w:rsidP="0086795C">
      <w:pPr>
        <w:pStyle w:val="Heading2"/>
      </w:pPr>
      <w:r>
        <w:t>2.2 Contextual Moderators in a Transition Economy</w:t>
      </w:r>
    </w:p>
    <w:p w14:paraId="2A39B675" w14:textId="77777777" w:rsidR="0086795C" w:rsidRDefault="0086795C" w:rsidP="0086795C">
      <w:pPr>
        <w:jc w:val="both"/>
      </w:pPr>
      <w:r>
        <w:t>Contingency theory holds that the effectiveness of managerial practices depends on the environment in which they are deployed. Three contextual conditions are especially salient for Malaysian semiconductor firms. Market unfairness refers to ethically questionable competitive practices, piracy, industrial espionage and intellectual-property infringement that erode the returns to legitimate innovation. Policy support denotes the industrial support policies, licences, and financial assistance extended by the state, which may furnish firms with strategic resources and slack. Competitive intensity captures the ferocity of rivalry, which may either spur firms to innovate or push them toward short-term, exploitative responses.</w:t>
      </w:r>
    </w:p>
    <w:p w14:paraId="03195F01" w14:textId="77777777" w:rsidR="0086795C" w:rsidRDefault="0086795C" w:rsidP="0086795C">
      <w:pPr>
        <w:ind w:firstLine="567"/>
        <w:jc w:val="both"/>
      </w:pPr>
      <w:r>
        <w:t>Drawing on these arguments, three moderating hypotheses are advanced regarding the QMP–PIP relationship:</w:t>
      </w:r>
    </w:p>
    <w:p w14:paraId="7F5E5B30" w14:textId="77777777" w:rsidR="0086795C" w:rsidRDefault="0086795C" w:rsidP="0086795C">
      <w:pPr>
        <w:ind w:firstLine="567"/>
        <w:jc w:val="both"/>
      </w:pPr>
      <w:r>
        <w:rPr>
          <w:b/>
          <w:bCs/>
        </w:rPr>
        <w:t xml:space="preserve">H1a: </w:t>
      </w:r>
      <w:r>
        <w:rPr>
          <w:i/>
          <w:iCs/>
        </w:rPr>
        <w:t>Market unfairness weakens the positive QMP–PIP relationship.</w:t>
      </w:r>
    </w:p>
    <w:p w14:paraId="61DD38A0" w14:textId="77777777" w:rsidR="0086795C" w:rsidRDefault="0086795C" w:rsidP="0086795C">
      <w:pPr>
        <w:ind w:firstLine="567"/>
        <w:jc w:val="both"/>
      </w:pPr>
      <w:r>
        <w:rPr>
          <w:b/>
          <w:bCs/>
        </w:rPr>
        <w:t xml:space="preserve">H1b: </w:t>
      </w:r>
      <w:r>
        <w:rPr>
          <w:i/>
          <w:iCs/>
        </w:rPr>
        <w:t>Policy support strengthens the positive QMP–PIP relationship.</w:t>
      </w:r>
    </w:p>
    <w:p w14:paraId="7ED22A03" w14:textId="77777777" w:rsidR="0086795C" w:rsidRDefault="0086795C" w:rsidP="0086795C">
      <w:pPr>
        <w:ind w:firstLine="567"/>
        <w:jc w:val="both"/>
      </w:pPr>
      <w:r>
        <w:rPr>
          <w:b/>
          <w:bCs/>
        </w:rPr>
        <w:t xml:space="preserve">H1c: </w:t>
      </w:r>
      <w:r>
        <w:rPr>
          <w:i/>
          <w:iCs/>
        </w:rPr>
        <w:t>Competitive intensity weakens the positive QMP–PIP relationship.</w:t>
      </w:r>
    </w:p>
    <w:p w14:paraId="5FA2B7C3" w14:textId="77777777" w:rsidR="0086795C" w:rsidRDefault="0086795C" w:rsidP="0086795C">
      <w:pPr>
        <w:ind w:firstLine="567"/>
        <w:jc w:val="both"/>
      </w:pPr>
      <w:r>
        <w:t>Figure 1 depicts the conceptual model.</w:t>
      </w:r>
    </w:p>
    <w:p w14:paraId="0070ABA8" w14:textId="77777777" w:rsidR="0086795C" w:rsidRDefault="0086795C" w:rsidP="0086795C">
      <w:pPr>
        <w:spacing w:before="40" w:after="160"/>
        <w:jc w:val="center"/>
        <w:rPr>
          <w:b/>
          <w:bCs/>
          <w:sz w:val="20"/>
          <w:szCs w:val="20"/>
        </w:rPr>
      </w:pPr>
    </w:p>
    <w:p w14:paraId="7D75EA26" w14:textId="77777777" w:rsidR="0086795C" w:rsidRDefault="0086795C" w:rsidP="0086795C">
      <w:pPr>
        <w:spacing w:before="40" w:after="160"/>
        <w:jc w:val="center"/>
        <w:rPr>
          <w:b/>
          <w:bCs/>
          <w:sz w:val="20"/>
          <w:szCs w:val="20"/>
        </w:rPr>
      </w:pPr>
      <w:r>
        <w:rPr>
          <w:b/>
          <w:bCs/>
          <w:noProof/>
          <w:sz w:val="20"/>
          <w:szCs w:val="20"/>
        </w:rPr>
        <w:lastRenderedPageBreak/>
        <w:drawing>
          <wp:inline distT="0" distB="0" distL="0" distR="0" wp14:anchorId="0A25571F" wp14:editId="2E93D44F">
            <wp:extent cx="4171950" cy="2955773"/>
            <wp:effectExtent l="0" t="0" r="0" b="0"/>
            <wp:docPr id="8120778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198440" cy="2974541"/>
                    </a:xfrm>
                    <a:prstGeom prst="rect">
                      <a:avLst/>
                    </a:prstGeom>
                    <a:noFill/>
                  </pic:spPr>
                </pic:pic>
              </a:graphicData>
            </a:graphic>
          </wp:inline>
        </w:drawing>
      </w:r>
    </w:p>
    <w:p w14:paraId="2FA4B4C2" w14:textId="77777777" w:rsidR="0086795C" w:rsidRDefault="0086795C" w:rsidP="0086795C">
      <w:pPr>
        <w:spacing w:before="40" w:after="160"/>
        <w:jc w:val="center"/>
      </w:pPr>
      <w:r>
        <w:rPr>
          <w:b/>
          <w:bCs/>
          <w:sz w:val="20"/>
          <w:szCs w:val="20"/>
        </w:rPr>
        <w:t>Figure 1. Conceptual model: QMP → PIP moderated by market unfairness, policy support and competitive intensity.</w:t>
      </w:r>
    </w:p>
    <w:p w14:paraId="5CB74C91" w14:textId="77777777" w:rsidR="0086795C" w:rsidRDefault="0086795C" w:rsidP="0086795C">
      <w:pPr>
        <w:pStyle w:val="Heading1"/>
      </w:pPr>
      <w:r>
        <w:t>3. RESEARCH METHODS</w:t>
      </w:r>
    </w:p>
    <w:p w14:paraId="7F014B8F" w14:textId="77777777" w:rsidR="0086795C" w:rsidRDefault="0086795C" w:rsidP="0086795C">
      <w:pPr>
        <w:pStyle w:val="Heading2"/>
      </w:pPr>
      <w:r>
        <w:t>3.1 Sample and Data Collection</w:t>
      </w:r>
    </w:p>
    <w:p w14:paraId="6FBCBAF0" w14:textId="77777777" w:rsidR="0086795C" w:rsidRDefault="0086795C" w:rsidP="0086795C">
      <w:pPr>
        <w:jc w:val="both"/>
      </w:pPr>
      <w:r>
        <w:t>A quantitative, cross-sectional design was employed. The sampling frame was drawn from the Malaysia Semiconductor Industry Association directory, cross-referenced with additional business directories, and restricted to firms with at least 50 employees engaged in original equipment or original design manufacturing. Using a stratified random sampling approach, questionnaires were distributed to 3,000 firms; after an initial wave and reminders, 222 usable responses were obtained (a 7.4% response rate consistent with comparable industry surveys). The firm was the unit of analysis, with senior managers acting as key informants. Independent-samples t-tests comparing early and late respondents showed no significant differences, indicating that non-response bias was not a material concern.</w:t>
      </w:r>
    </w:p>
    <w:p w14:paraId="365C6B1F" w14:textId="77777777" w:rsidR="0086795C" w:rsidRDefault="0086795C" w:rsidP="0086795C">
      <w:pPr>
        <w:pStyle w:val="Heading2"/>
      </w:pPr>
      <w:r>
        <w:t>3.2 Measurement</w:t>
      </w:r>
    </w:p>
    <w:p w14:paraId="12864753" w14:textId="77777777" w:rsidR="0086795C" w:rsidRDefault="0086795C" w:rsidP="0086795C">
      <w:pPr>
        <w:jc w:val="both"/>
      </w:pPr>
      <w:r>
        <w:t>All constructs were measured with validated multi-item scales rated on a seven-point Likert scale, chosen to mitigate the central-tendency response style sometimes observed among Asian respondents. QMP was modelled as a second-order construct comprising leadership, strategic planning, customer focus, information and analysis, people management and process management. PIP was assessed through the speed, scope and novelty of new-product outcomes. Market unfairness, policy support and competitive intensity were each captured with established multi-item scales. A pilot study confirmed acceptable internal consistency for all constructs.</w:t>
      </w:r>
    </w:p>
    <w:p w14:paraId="446B046F" w14:textId="77777777" w:rsidR="0086795C" w:rsidRDefault="0086795C" w:rsidP="0086795C">
      <w:pPr>
        <w:pStyle w:val="Heading2"/>
      </w:pPr>
      <w:r>
        <w:lastRenderedPageBreak/>
        <w:t>3.3 Analytical Procedure</w:t>
      </w:r>
    </w:p>
    <w:p w14:paraId="5895E286" w14:textId="77777777" w:rsidR="0086795C" w:rsidRDefault="0086795C" w:rsidP="0086795C">
      <w:pPr>
        <w:jc w:val="both"/>
      </w:pPr>
      <w:r>
        <w:t>Covariance-based structural equation modelling was performed in AMOS 29.0 following a two-stage approach (Anderson &amp; Gerbing, 1988). Confirmatory factor analysis first established measurement reliability and validity; maximum-likelihood path analysis then tested the structural relationships. Model fit was assessed using multiple indices (CFI, TLI, RMSEA, SRMR). Common method variance was evaluated using Harman’s single-factor test and a common latent factor; differences between models with and without the common latent factor were negligible, indicating that common method bias was not a significant concern. Moderating effects were tested via path analysis using composite interaction terms.</w:t>
      </w:r>
    </w:p>
    <w:p w14:paraId="09202478" w14:textId="77777777" w:rsidR="0086795C" w:rsidRDefault="0086795C" w:rsidP="0086795C">
      <w:pPr>
        <w:pStyle w:val="Heading1"/>
      </w:pPr>
      <w:r>
        <w:t>4. RESULTS AND DISCUSSION</w:t>
      </w:r>
    </w:p>
    <w:p w14:paraId="3123D7C0" w14:textId="77777777" w:rsidR="0086795C" w:rsidRDefault="0086795C" w:rsidP="0086795C">
      <w:pPr>
        <w:pStyle w:val="Heading2"/>
      </w:pPr>
      <w:r>
        <w:t>4.1 Measurement Model</w:t>
      </w:r>
    </w:p>
    <w:p w14:paraId="4718B784" w14:textId="77777777" w:rsidR="0086795C" w:rsidRDefault="0086795C" w:rsidP="0086795C">
      <w:pPr>
        <w:jc w:val="both"/>
      </w:pPr>
      <w:r>
        <w:t>The final measurement model exhibited a good fit to the data, with all indices meeting conventional thresholds (CFI = .96, TLI ≥ .95, RMSEA = .05, SRMR = .05). Convergent and discriminant validity were supported, with high standardised loadings and average variance extracted exceeding shared variance across constructs. These results permitted structural analysis.</w:t>
      </w:r>
    </w:p>
    <w:p w14:paraId="1A4529D5" w14:textId="77777777" w:rsidR="0086795C" w:rsidRDefault="0086795C" w:rsidP="0086795C">
      <w:pPr>
        <w:pStyle w:val="Heading2"/>
      </w:pPr>
      <w:r>
        <w:t>4.2 Direct and Moderating Effects</w:t>
      </w:r>
    </w:p>
    <w:p w14:paraId="6A6292EA" w14:textId="77777777" w:rsidR="0086795C" w:rsidRDefault="0086795C" w:rsidP="0086795C">
      <w:pPr>
        <w:jc w:val="both"/>
      </w:pPr>
      <w:r>
        <w:t>The structural analysis strongly supported H1: quality management processes exerted a positive and significant effect on product innovation productivity (β = .51, p &lt; .001), and QMP alone was a substantial predictor of PIP. This confirms that QMP operates as an antecedent of innovation and not merely as an efficiency-oriented control system.</w:t>
      </w:r>
    </w:p>
    <w:p w14:paraId="62AB003C" w14:textId="77777777" w:rsidR="0086795C" w:rsidRDefault="0086795C" w:rsidP="0086795C">
      <w:pPr>
        <w:ind w:firstLine="567"/>
        <w:jc w:val="both"/>
      </w:pPr>
      <w:r>
        <w:t>The moderation results were more selective. Market unfairness significantly weakened the QMP–PIP relationship (β = .09, p &lt; .05), supporting H1a: where imitation and infringement are prevalent, the innovation returns to quality investments are diminished. In contrast, neither policy support (H1b) nor competitive intensity (H1c) exerted a significant moderating effect, and both hypotheses were rejected. Table 1 summarises the results.</w:t>
      </w:r>
    </w:p>
    <w:p w14:paraId="5534E6D8" w14:textId="77777777" w:rsidR="0086795C" w:rsidRDefault="0086795C" w:rsidP="0086795C">
      <w:pPr>
        <w:spacing w:before="140" w:after="60"/>
      </w:pPr>
      <w:r>
        <w:rPr>
          <w:b/>
          <w:bCs/>
          <w:sz w:val="20"/>
          <w:szCs w:val="20"/>
        </w:rPr>
        <w:t>Table 1. Summary of hypothesis testing results</w:t>
      </w:r>
    </w:p>
    <w:tbl>
      <w:tblPr>
        <w:tblW w:w="9200" w:type="dxa"/>
        <w:tblBorders>
          <w:top w:val="single" w:sz="4" w:space="0" w:color="000000"/>
          <w:bottom w:val="single" w:sz="4" w:space="0" w:color="000000"/>
          <w:insideH w:val="single" w:sz="2" w:space="0" w:color="AAAAAA"/>
        </w:tblBorders>
        <w:tblCellMar>
          <w:left w:w="10" w:type="dxa"/>
          <w:right w:w="10" w:type="dxa"/>
        </w:tblCellMar>
        <w:tblLook w:val="04A0" w:firstRow="1" w:lastRow="0" w:firstColumn="1" w:lastColumn="0" w:noHBand="0" w:noVBand="1"/>
      </w:tblPr>
      <w:tblGrid>
        <w:gridCol w:w="1900"/>
        <w:gridCol w:w="4600"/>
        <w:gridCol w:w="1200"/>
        <w:gridCol w:w="1500"/>
      </w:tblGrid>
      <w:tr w:rsidR="0086795C" w14:paraId="6A8458EA" w14:textId="77777777" w:rsidTr="00F5454E">
        <w:trPr>
          <w:tblHeader/>
        </w:trPr>
        <w:tc>
          <w:tcPr>
            <w:tcW w:w="1900" w:type="dxa"/>
            <w:shd w:val="clear" w:color="auto" w:fill="EDEDED"/>
            <w:tcMar>
              <w:top w:w="40" w:type="dxa"/>
              <w:left w:w="80" w:type="dxa"/>
              <w:bottom w:w="40" w:type="dxa"/>
              <w:right w:w="80" w:type="dxa"/>
            </w:tcMar>
          </w:tcPr>
          <w:p w14:paraId="6988DFA2" w14:textId="77777777" w:rsidR="0086795C" w:rsidRDefault="0086795C" w:rsidP="00F5454E">
            <w:pPr>
              <w:jc w:val="center"/>
            </w:pPr>
            <w:r>
              <w:rPr>
                <w:b/>
                <w:bCs/>
                <w:sz w:val="20"/>
                <w:szCs w:val="20"/>
              </w:rPr>
              <w:t>Hypothesis</w:t>
            </w:r>
          </w:p>
        </w:tc>
        <w:tc>
          <w:tcPr>
            <w:tcW w:w="4600" w:type="dxa"/>
            <w:shd w:val="clear" w:color="auto" w:fill="EDEDED"/>
            <w:tcMar>
              <w:top w:w="40" w:type="dxa"/>
              <w:left w:w="80" w:type="dxa"/>
              <w:bottom w:w="40" w:type="dxa"/>
              <w:right w:w="80" w:type="dxa"/>
            </w:tcMar>
          </w:tcPr>
          <w:p w14:paraId="42F82AA9" w14:textId="77777777" w:rsidR="0086795C" w:rsidRDefault="0086795C" w:rsidP="00F5454E">
            <w:pPr>
              <w:jc w:val="center"/>
            </w:pPr>
            <w:r>
              <w:rPr>
                <w:b/>
                <w:bCs/>
                <w:sz w:val="20"/>
                <w:szCs w:val="20"/>
              </w:rPr>
              <w:t>Path</w:t>
            </w:r>
          </w:p>
        </w:tc>
        <w:tc>
          <w:tcPr>
            <w:tcW w:w="1200" w:type="dxa"/>
            <w:shd w:val="clear" w:color="auto" w:fill="EDEDED"/>
            <w:tcMar>
              <w:top w:w="40" w:type="dxa"/>
              <w:left w:w="80" w:type="dxa"/>
              <w:bottom w:w="40" w:type="dxa"/>
              <w:right w:w="80" w:type="dxa"/>
            </w:tcMar>
          </w:tcPr>
          <w:p w14:paraId="458962F2" w14:textId="77777777" w:rsidR="0086795C" w:rsidRDefault="0086795C" w:rsidP="00F5454E">
            <w:pPr>
              <w:jc w:val="center"/>
            </w:pPr>
            <w:r>
              <w:rPr>
                <w:b/>
                <w:bCs/>
                <w:sz w:val="20"/>
                <w:szCs w:val="20"/>
              </w:rPr>
              <w:t>β</w:t>
            </w:r>
          </w:p>
        </w:tc>
        <w:tc>
          <w:tcPr>
            <w:tcW w:w="1500" w:type="dxa"/>
            <w:shd w:val="clear" w:color="auto" w:fill="EDEDED"/>
            <w:tcMar>
              <w:top w:w="40" w:type="dxa"/>
              <w:left w:w="80" w:type="dxa"/>
              <w:bottom w:w="40" w:type="dxa"/>
              <w:right w:w="80" w:type="dxa"/>
            </w:tcMar>
          </w:tcPr>
          <w:p w14:paraId="42A5B7AE" w14:textId="77777777" w:rsidR="0086795C" w:rsidRDefault="0086795C" w:rsidP="00F5454E">
            <w:pPr>
              <w:jc w:val="center"/>
            </w:pPr>
            <w:r>
              <w:rPr>
                <w:b/>
                <w:bCs/>
                <w:sz w:val="20"/>
                <w:szCs w:val="20"/>
              </w:rPr>
              <w:t>Result</w:t>
            </w:r>
          </w:p>
        </w:tc>
      </w:tr>
      <w:tr w:rsidR="0086795C" w14:paraId="09C573D5" w14:textId="77777777" w:rsidTr="00F5454E">
        <w:tc>
          <w:tcPr>
            <w:tcW w:w="1900" w:type="dxa"/>
            <w:tcMar>
              <w:top w:w="40" w:type="dxa"/>
              <w:left w:w="80" w:type="dxa"/>
              <w:bottom w:w="40" w:type="dxa"/>
              <w:right w:w="80" w:type="dxa"/>
            </w:tcMar>
          </w:tcPr>
          <w:p w14:paraId="7253E684" w14:textId="77777777" w:rsidR="0086795C" w:rsidRDefault="0086795C" w:rsidP="00F5454E">
            <w:r>
              <w:rPr>
                <w:sz w:val="20"/>
                <w:szCs w:val="20"/>
              </w:rPr>
              <w:t>H1</w:t>
            </w:r>
          </w:p>
        </w:tc>
        <w:tc>
          <w:tcPr>
            <w:tcW w:w="4600" w:type="dxa"/>
            <w:tcMar>
              <w:top w:w="40" w:type="dxa"/>
              <w:left w:w="80" w:type="dxa"/>
              <w:bottom w:w="40" w:type="dxa"/>
              <w:right w:w="80" w:type="dxa"/>
            </w:tcMar>
          </w:tcPr>
          <w:p w14:paraId="17BF4A2B" w14:textId="77777777" w:rsidR="0086795C" w:rsidRDefault="0086795C" w:rsidP="00F5454E">
            <w:pPr>
              <w:jc w:val="center"/>
            </w:pPr>
            <w:r>
              <w:rPr>
                <w:sz w:val="20"/>
                <w:szCs w:val="20"/>
              </w:rPr>
              <w:t>QMP → PIP (+)</w:t>
            </w:r>
          </w:p>
        </w:tc>
        <w:tc>
          <w:tcPr>
            <w:tcW w:w="1200" w:type="dxa"/>
            <w:tcMar>
              <w:top w:w="40" w:type="dxa"/>
              <w:left w:w="80" w:type="dxa"/>
              <w:bottom w:w="40" w:type="dxa"/>
              <w:right w:w="80" w:type="dxa"/>
            </w:tcMar>
          </w:tcPr>
          <w:p w14:paraId="208D22F9" w14:textId="77777777" w:rsidR="0086795C" w:rsidRDefault="0086795C" w:rsidP="00F5454E">
            <w:pPr>
              <w:jc w:val="center"/>
            </w:pPr>
            <w:r>
              <w:rPr>
                <w:sz w:val="20"/>
                <w:szCs w:val="20"/>
              </w:rPr>
              <w:t>.51***</w:t>
            </w:r>
          </w:p>
        </w:tc>
        <w:tc>
          <w:tcPr>
            <w:tcW w:w="1500" w:type="dxa"/>
            <w:tcMar>
              <w:top w:w="40" w:type="dxa"/>
              <w:left w:w="80" w:type="dxa"/>
              <w:bottom w:w="40" w:type="dxa"/>
              <w:right w:w="80" w:type="dxa"/>
            </w:tcMar>
          </w:tcPr>
          <w:p w14:paraId="61836BA5" w14:textId="77777777" w:rsidR="0086795C" w:rsidRDefault="0086795C" w:rsidP="00F5454E">
            <w:pPr>
              <w:jc w:val="center"/>
            </w:pPr>
            <w:r>
              <w:rPr>
                <w:sz w:val="20"/>
                <w:szCs w:val="20"/>
              </w:rPr>
              <w:t>Supported</w:t>
            </w:r>
          </w:p>
        </w:tc>
      </w:tr>
      <w:tr w:rsidR="0086795C" w14:paraId="19402ABF" w14:textId="77777777" w:rsidTr="00F5454E">
        <w:tc>
          <w:tcPr>
            <w:tcW w:w="1900" w:type="dxa"/>
            <w:tcMar>
              <w:top w:w="40" w:type="dxa"/>
              <w:left w:w="80" w:type="dxa"/>
              <w:bottom w:w="40" w:type="dxa"/>
              <w:right w:w="80" w:type="dxa"/>
            </w:tcMar>
          </w:tcPr>
          <w:p w14:paraId="76F97284" w14:textId="77777777" w:rsidR="0086795C" w:rsidRDefault="0086795C" w:rsidP="00F5454E">
            <w:r>
              <w:rPr>
                <w:sz w:val="20"/>
                <w:szCs w:val="20"/>
              </w:rPr>
              <w:t>H1a</w:t>
            </w:r>
          </w:p>
        </w:tc>
        <w:tc>
          <w:tcPr>
            <w:tcW w:w="4600" w:type="dxa"/>
            <w:tcMar>
              <w:top w:w="40" w:type="dxa"/>
              <w:left w:w="80" w:type="dxa"/>
              <w:bottom w:w="40" w:type="dxa"/>
              <w:right w:w="80" w:type="dxa"/>
            </w:tcMar>
          </w:tcPr>
          <w:p w14:paraId="5AAB1E60" w14:textId="77777777" w:rsidR="0086795C" w:rsidRDefault="0086795C" w:rsidP="00F5454E">
            <w:pPr>
              <w:jc w:val="center"/>
            </w:pPr>
            <w:r>
              <w:rPr>
                <w:sz w:val="20"/>
                <w:szCs w:val="20"/>
              </w:rPr>
              <w:t>Market unfairness weakens QMP–PIP (−)</w:t>
            </w:r>
          </w:p>
        </w:tc>
        <w:tc>
          <w:tcPr>
            <w:tcW w:w="1200" w:type="dxa"/>
            <w:tcMar>
              <w:top w:w="40" w:type="dxa"/>
              <w:left w:w="80" w:type="dxa"/>
              <w:bottom w:w="40" w:type="dxa"/>
              <w:right w:w="80" w:type="dxa"/>
            </w:tcMar>
          </w:tcPr>
          <w:p w14:paraId="71B91C6B" w14:textId="77777777" w:rsidR="0086795C" w:rsidRDefault="0086795C" w:rsidP="00F5454E">
            <w:pPr>
              <w:jc w:val="center"/>
            </w:pPr>
            <w:r>
              <w:rPr>
                <w:sz w:val="20"/>
                <w:szCs w:val="20"/>
              </w:rPr>
              <w:t>.09*</w:t>
            </w:r>
          </w:p>
        </w:tc>
        <w:tc>
          <w:tcPr>
            <w:tcW w:w="1500" w:type="dxa"/>
            <w:tcMar>
              <w:top w:w="40" w:type="dxa"/>
              <w:left w:w="80" w:type="dxa"/>
              <w:bottom w:w="40" w:type="dxa"/>
              <w:right w:w="80" w:type="dxa"/>
            </w:tcMar>
          </w:tcPr>
          <w:p w14:paraId="65842304" w14:textId="77777777" w:rsidR="0086795C" w:rsidRDefault="0086795C" w:rsidP="00F5454E">
            <w:pPr>
              <w:jc w:val="center"/>
            </w:pPr>
            <w:r>
              <w:rPr>
                <w:sz w:val="20"/>
                <w:szCs w:val="20"/>
              </w:rPr>
              <w:t>Supported</w:t>
            </w:r>
          </w:p>
        </w:tc>
      </w:tr>
      <w:tr w:rsidR="0086795C" w14:paraId="5931C1E0" w14:textId="77777777" w:rsidTr="00F5454E">
        <w:tc>
          <w:tcPr>
            <w:tcW w:w="1900" w:type="dxa"/>
            <w:tcMar>
              <w:top w:w="40" w:type="dxa"/>
              <w:left w:w="80" w:type="dxa"/>
              <w:bottom w:w="40" w:type="dxa"/>
              <w:right w:w="80" w:type="dxa"/>
            </w:tcMar>
          </w:tcPr>
          <w:p w14:paraId="4DB49024" w14:textId="77777777" w:rsidR="0086795C" w:rsidRDefault="0086795C" w:rsidP="00F5454E">
            <w:r>
              <w:rPr>
                <w:sz w:val="20"/>
                <w:szCs w:val="20"/>
              </w:rPr>
              <w:t>H1b</w:t>
            </w:r>
          </w:p>
        </w:tc>
        <w:tc>
          <w:tcPr>
            <w:tcW w:w="4600" w:type="dxa"/>
            <w:tcMar>
              <w:top w:w="40" w:type="dxa"/>
              <w:left w:w="80" w:type="dxa"/>
              <w:bottom w:w="40" w:type="dxa"/>
              <w:right w:w="80" w:type="dxa"/>
            </w:tcMar>
          </w:tcPr>
          <w:p w14:paraId="230A9C1B" w14:textId="77777777" w:rsidR="0086795C" w:rsidRDefault="0086795C" w:rsidP="00F5454E">
            <w:pPr>
              <w:jc w:val="center"/>
            </w:pPr>
            <w:r>
              <w:rPr>
                <w:sz w:val="20"/>
                <w:szCs w:val="20"/>
              </w:rPr>
              <w:t>Policy support strengthens QMP–PIP (+)</w:t>
            </w:r>
          </w:p>
        </w:tc>
        <w:tc>
          <w:tcPr>
            <w:tcW w:w="1200" w:type="dxa"/>
            <w:tcMar>
              <w:top w:w="40" w:type="dxa"/>
              <w:left w:w="80" w:type="dxa"/>
              <w:bottom w:w="40" w:type="dxa"/>
              <w:right w:w="80" w:type="dxa"/>
            </w:tcMar>
          </w:tcPr>
          <w:p w14:paraId="69138848" w14:textId="77777777" w:rsidR="0086795C" w:rsidRDefault="0086795C" w:rsidP="00F5454E">
            <w:pPr>
              <w:jc w:val="center"/>
            </w:pPr>
            <w:r>
              <w:rPr>
                <w:sz w:val="20"/>
                <w:szCs w:val="20"/>
              </w:rPr>
              <w:t>.01</w:t>
            </w:r>
          </w:p>
        </w:tc>
        <w:tc>
          <w:tcPr>
            <w:tcW w:w="1500" w:type="dxa"/>
            <w:tcMar>
              <w:top w:w="40" w:type="dxa"/>
              <w:left w:w="80" w:type="dxa"/>
              <w:bottom w:w="40" w:type="dxa"/>
              <w:right w:w="80" w:type="dxa"/>
            </w:tcMar>
          </w:tcPr>
          <w:p w14:paraId="2D600F25" w14:textId="77777777" w:rsidR="0086795C" w:rsidRDefault="0086795C" w:rsidP="00F5454E">
            <w:pPr>
              <w:jc w:val="center"/>
            </w:pPr>
            <w:r>
              <w:rPr>
                <w:sz w:val="20"/>
                <w:szCs w:val="20"/>
              </w:rPr>
              <w:t>Rejected</w:t>
            </w:r>
          </w:p>
        </w:tc>
      </w:tr>
      <w:tr w:rsidR="0086795C" w14:paraId="44D5EAA3" w14:textId="77777777" w:rsidTr="00F5454E">
        <w:tc>
          <w:tcPr>
            <w:tcW w:w="1900" w:type="dxa"/>
            <w:tcMar>
              <w:top w:w="40" w:type="dxa"/>
              <w:left w:w="80" w:type="dxa"/>
              <w:bottom w:w="40" w:type="dxa"/>
              <w:right w:w="80" w:type="dxa"/>
            </w:tcMar>
          </w:tcPr>
          <w:p w14:paraId="64E79A7F" w14:textId="77777777" w:rsidR="0086795C" w:rsidRDefault="0086795C" w:rsidP="00F5454E">
            <w:r>
              <w:rPr>
                <w:sz w:val="20"/>
                <w:szCs w:val="20"/>
              </w:rPr>
              <w:t>H1c</w:t>
            </w:r>
          </w:p>
        </w:tc>
        <w:tc>
          <w:tcPr>
            <w:tcW w:w="4600" w:type="dxa"/>
            <w:tcMar>
              <w:top w:w="40" w:type="dxa"/>
              <w:left w:w="80" w:type="dxa"/>
              <w:bottom w:w="40" w:type="dxa"/>
              <w:right w:w="80" w:type="dxa"/>
            </w:tcMar>
          </w:tcPr>
          <w:p w14:paraId="241ED819" w14:textId="77777777" w:rsidR="0086795C" w:rsidRDefault="0086795C" w:rsidP="00F5454E">
            <w:pPr>
              <w:jc w:val="center"/>
            </w:pPr>
            <w:r>
              <w:rPr>
                <w:sz w:val="20"/>
                <w:szCs w:val="20"/>
              </w:rPr>
              <w:t>Competitive intensity weakens QMP–PIP (−)</w:t>
            </w:r>
          </w:p>
        </w:tc>
        <w:tc>
          <w:tcPr>
            <w:tcW w:w="1200" w:type="dxa"/>
            <w:tcMar>
              <w:top w:w="40" w:type="dxa"/>
              <w:left w:w="80" w:type="dxa"/>
              <w:bottom w:w="40" w:type="dxa"/>
              <w:right w:w="80" w:type="dxa"/>
            </w:tcMar>
          </w:tcPr>
          <w:p w14:paraId="4E550861" w14:textId="77777777" w:rsidR="0086795C" w:rsidRDefault="0086795C" w:rsidP="00F5454E">
            <w:pPr>
              <w:jc w:val="center"/>
            </w:pPr>
            <w:r>
              <w:rPr>
                <w:sz w:val="20"/>
                <w:szCs w:val="20"/>
              </w:rPr>
              <w:t>−.04</w:t>
            </w:r>
          </w:p>
        </w:tc>
        <w:tc>
          <w:tcPr>
            <w:tcW w:w="1500" w:type="dxa"/>
            <w:tcMar>
              <w:top w:w="40" w:type="dxa"/>
              <w:left w:w="80" w:type="dxa"/>
              <w:bottom w:w="40" w:type="dxa"/>
              <w:right w:w="80" w:type="dxa"/>
            </w:tcMar>
          </w:tcPr>
          <w:p w14:paraId="2F2F4E27" w14:textId="77777777" w:rsidR="0086795C" w:rsidRDefault="0086795C" w:rsidP="00F5454E">
            <w:pPr>
              <w:jc w:val="center"/>
            </w:pPr>
            <w:r>
              <w:rPr>
                <w:sz w:val="20"/>
                <w:szCs w:val="20"/>
              </w:rPr>
              <w:t>Rejected</w:t>
            </w:r>
          </w:p>
        </w:tc>
      </w:tr>
    </w:tbl>
    <w:p w14:paraId="5D973918" w14:textId="77777777" w:rsidR="0086795C" w:rsidRDefault="0086795C" w:rsidP="0086795C">
      <w:pPr>
        <w:spacing w:before="40" w:after="160"/>
      </w:pPr>
      <w:r>
        <w:rPr>
          <w:i/>
          <w:iCs/>
          <w:sz w:val="18"/>
          <w:szCs w:val="18"/>
        </w:rPr>
        <w:t>Note. *p &lt; .05; ***p &lt; .001. N = 222. QMP = quality management processes; PIP = product innovation productivity.</w:t>
      </w:r>
    </w:p>
    <w:p w14:paraId="0D762B4F" w14:textId="77777777" w:rsidR="0086795C" w:rsidRDefault="0086795C" w:rsidP="0086795C">
      <w:pPr>
        <w:pStyle w:val="Heading2"/>
      </w:pPr>
      <w:r>
        <w:t>4.3 Discussion</w:t>
      </w:r>
    </w:p>
    <w:p w14:paraId="09682429" w14:textId="77777777" w:rsidR="0086795C" w:rsidRDefault="0086795C" w:rsidP="0086795C">
      <w:pPr>
        <w:jc w:val="both"/>
      </w:pPr>
      <w:r>
        <w:t xml:space="preserve">The findings make three contributions. First, they reinforce the view that QMP is a genuine driver of innovation in emerging-economy manufacturing. For Malaysian semiconductor firms, historically anchored in back-end operations, this implies that upgrading and deepening quality systems is a viable route to higher-value product innovation. The mechanism is organisational learning: when </w:t>
      </w:r>
      <w:r>
        <w:lastRenderedPageBreak/>
        <w:t>QMP is implemented in an explorative manner, quality feedback becomes a wellspring of internal innovation.</w:t>
      </w:r>
    </w:p>
    <w:p w14:paraId="7B3FDDAE" w14:textId="77777777" w:rsidR="0086795C" w:rsidRDefault="0086795C" w:rsidP="0086795C">
      <w:pPr>
        <w:ind w:firstLine="567"/>
        <w:jc w:val="both"/>
      </w:pPr>
      <w:r>
        <w:t>Second, the significant dampening effect of market unfairness indicates that the quality–innovation pathway is vulnerable to dysfunctional competition. When rivals appropriate innovations through piracy or infringement, the incentive and payoff for disciplined, quality-driven innovation weaken. This underscores the importance of intellectual-property protection and a sustained long-term orientation.</w:t>
      </w:r>
    </w:p>
    <w:p w14:paraId="5C286388" w14:textId="77777777" w:rsidR="0086795C" w:rsidRDefault="0086795C" w:rsidP="0086795C">
      <w:pPr>
        <w:ind w:firstLine="567"/>
        <w:jc w:val="both"/>
      </w:pPr>
      <w:r>
        <w:t>Third, the non-significance of policy support as a moderator is theoretically instructive. Rather than depending on state support to translate quality into innovation, Malaysian firms appear to rely predominantly on their own capabilities and on knowledge acquired through informal networks with supply-chain partners and research institutions. The government’s role in facilitating quality-driven innovation appears limited, consistent with an endogenous, firm-centred view of innovation. Likewise, the absence of a competitive-intensity effect reflects the multidimensional and context-dependent nature of the QMP–PIP relationship, cautioning against simplistic assumptions about how rivalry shapes quality-driven innovation.</w:t>
      </w:r>
    </w:p>
    <w:p w14:paraId="147F33E6" w14:textId="77777777" w:rsidR="0086795C" w:rsidRDefault="0086795C" w:rsidP="0086795C">
      <w:pPr>
        <w:pStyle w:val="Heading1"/>
      </w:pPr>
      <w:r>
        <w:t>5. CONCLUSION</w:t>
      </w:r>
    </w:p>
    <w:p w14:paraId="6EF6A9B6" w14:textId="77777777" w:rsidR="0086795C" w:rsidRDefault="0086795C" w:rsidP="0086795C">
      <w:pPr>
        <w:jc w:val="both"/>
      </w:pPr>
      <w:r>
        <w:t>This study demonstrates that quality management processes significantly enhance product innovation productivity among Malaysia’s semiconductor firms, and that this relationship is largely robust to the external environment save for the corrosive effect of market unfairness. The advantages of the study lie in its integration of quality management and contingency perspectives and its focus on a strategically important yet under-researched industry. Managerially, the results recommend that firms upgrade the sophistication of their quality systems, implement QMP in an explorative, learning-oriented manner, protect innovation returns from imitation and infringement, and build endogenous capabilities rather than rely on policy support. For policymakers, the findings suggest that strengthening intellectual-property enforcement may do more to unlock quality-driven innovation than direct support alone.</w:t>
      </w:r>
    </w:p>
    <w:p w14:paraId="07D99CF0" w14:textId="77777777" w:rsidR="0086795C" w:rsidRDefault="0086795C" w:rsidP="0086795C">
      <w:pPr>
        <w:ind w:firstLine="567"/>
        <w:jc w:val="both"/>
      </w:pPr>
      <w:r>
        <w:t>The study is subject to limitations that open avenues for future research. It treats QMP as a composite construct; decomposing it into its constituent dimensions may reveal more granular interactions with PIP. Its single-source, cross-sectional design and concentration in Malaysia’s principal electronics hubs constrain generalisability; longitudinal, multi-source studies across more diverse regions and additional contextual moderators, such as environmental turbulence and firm ownership, would enrich understanding of quality-driven innovation.</w:t>
      </w:r>
    </w:p>
    <w:p w14:paraId="4266535E" w14:textId="77777777" w:rsidR="0086795C" w:rsidRDefault="0086795C" w:rsidP="0086795C">
      <w:pPr>
        <w:pStyle w:val="Heading1"/>
      </w:pPr>
      <w:r>
        <w:t>ACKNOWLEDGMENTS</w:t>
      </w:r>
    </w:p>
    <w:p w14:paraId="6A990F1E" w14:textId="77777777" w:rsidR="0086795C" w:rsidRDefault="0086795C" w:rsidP="0086795C">
      <w:pPr>
        <w:jc w:val="both"/>
      </w:pPr>
      <w:r>
        <w:t>The author gratefully acknowledges the guidance of the supervisory committee at the Tun Razak Graduate School of Business, Universiti Tun Abdul Razak, and the participating firms of the Malaysian semiconductor industry.</w:t>
      </w:r>
    </w:p>
    <w:p w14:paraId="0CE5E72A" w14:textId="77777777" w:rsidR="0086795C" w:rsidRDefault="0086795C" w:rsidP="0086795C">
      <w:pPr>
        <w:pStyle w:val="Heading1"/>
      </w:pPr>
      <w:r>
        <w:lastRenderedPageBreak/>
        <w:t>REFERENCES</w:t>
      </w:r>
    </w:p>
    <w:p w14:paraId="6AE1F3FF" w14:textId="77777777" w:rsidR="0086795C" w:rsidRDefault="0086795C" w:rsidP="0086795C">
      <w:pPr>
        <w:spacing w:after="100"/>
        <w:ind w:left="360" w:hanging="360"/>
        <w:jc w:val="both"/>
      </w:pPr>
      <w:proofErr w:type="spellStart"/>
      <w:r>
        <w:rPr>
          <w:sz w:val="20"/>
          <w:szCs w:val="20"/>
        </w:rPr>
        <w:t>AlQershi</w:t>
      </w:r>
      <w:proofErr w:type="spellEnd"/>
      <w:r>
        <w:rPr>
          <w:sz w:val="20"/>
          <w:szCs w:val="20"/>
        </w:rPr>
        <w:t>, N. A., Ali, G. A., Al-</w:t>
      </w:r>
      <w:proofErr w:type="spellStart"/>
      <w:r>
        <w:rPr>
          <w:sz w:val="20"/>
          <w:szCs w:val="20"/>
        </w:rPr>
        <w:t>Rejal</w:t>
      </w:r>
      <w:proofErr w:type="spellEnd"/>
      <w:r>
        <w:rPr>
          <w:sz w:val="20"/>
          <w:szCs w:val="20"/>
        </w:rPr>
        <w:t>, H. A., Al-Ganad, A., Farhan Busenan, E., &amp; Ahmed, A. (2023). The power of strategic knowledge management in the relationship between innovation and the performance of large manufacturing firms in Malaysia. International Journal of Innovation Science, 15(1), 19–41.</w:t>
      </w:r>
    </w:p>
    <w:p w14:paraId="795A713F" w14:textId="77777777" w:rsidR="0086795C" w:rsidRDefault="0086795C" w:rsidP="0086795C">
      <w:pPr>
        <w:spacing w:after="100"/>
        <w:ind w:left="360" w:hanging="360"/>
        <w:jc w:val="both"/>
      </w:pPr>
      <w:r>
        <w:rPr>
          <w:sz w:val="20"/>
          <w:szCs w:val="20"/>
        </w:rPr>
        <w:t xml:space="preserve">Anderson, J. C., &amp; Gerbing, D. W. (1988). Structural equation </w:t>
      </w:r>
      <w:proofErr w:type="spellStart"/>
      <w:r>
        <w:rPr>
          <w:sz w:val="20"/>
          <w:szCs w:val="20"/>
        </w:rPr>
        <w:t>modeling</w:t>
      </w:r>
      <w:proofErr w:type="spellEnd"/>
      <w:r>
        <w:rPr>
          <w:sz w:val="20"/>
          <w:szCs w:val="20"/>
        </w:rPr>
        <w:t xml:space="preserve"> in practice: A review and recommended two-step approach. Psychological Bulletin, 103(3), 411–423.</w:t>
      </w:r>
    </w:p>
    <w:p w14:paraId="1DB78895" w14:textId="77777777" w:rsidR="0086795C" w:rsidRDefault="0086795C" w:rsidP="0086795C">
      <w:pPr>
        <w:spacing w:after="100"/>
        <w:ind w:left="360" w:hanging="360"/>
        <w:jc w:val="both"/>
      </w:pPr>
      <w:r>
        <w:rPr>
          <w:sz w:val="20"/>
          <w:szCs w:val="20"/>
        </w:rPr>
        <w:t>Deming, W. E. (1986). Out of the crisis. MIT Press.</w:t>
      </w:r>
    </w:p>
    <w:p w14:paraId="24FF7800" w14:textId="77777777" w:rsidR="0086795C" w:rsidRDefault="0086795C" w:rsidP="0086795C">
      <w:pPr>
        <w:spacing w:after="100"/>
        <w:ind w:left="360" w:hanging="360"/>
        <w:jc w:val="both"/>
      </w:pPr>
      <w:r>
        <w:rPr>
          <w:sz w:val="20"/>
          <w:szCs w:val="20"/>
        </w:rPr>
        <w:t xml:space="preserve">El </w:t>
      </w:r>
      <w:proofErr w:type="spellStart"/>
      <w:r>
        <w:rPr>
          <w:sz w:val="20"/>
          <w:szCs w:val="20"/>
        </w:rPr>
        <w:t>Manzani</w:t>
      </w:r>
      <w:proofErr w:type="spellEnd"/>
      <w:r>
        <w:rPr>
          <w:sz w:val="20"/>
          <w:szCs w:val="20"/>
        </w:rPr>
        <w:t xml:space="preserve">, Y., </w:t>
      </w:r>
      <w:proofErr w:type="spellStart"/>
      <w:r>
        <w:rPr>
          <w:sz w:val="20"/>
          <w:szCs w:val="20"/>
        </w:rPr>
        <w:t>Sidmou</w:t>
      </w:r>
      <w:proofErr w:type="spellEnd"/>
      <w:r>
        <w:rPr>
          <w:sz w:val="20"/>
          <w:szCs w:val="20"/>
        </w:rPr>
        <w:t>, M. L., &amp; Cegarra, J. J. (2023). Does total quality management enhance innovation? Total Quality Management &amp; Business Excellence, 34(1–2), 1–32.</w:t>
      </w:r>
    </w:p>
    <w:p w14:paraId="77AB507E" w14:textId="77777777" w:rsidR="0086795C" w:rsidRDefault="0086795C" w:rsidP="0086795C">
      <w:pPr>
        <w:spacing w:after="100"/>
        <w:ind w:left="360" w:hanging="360"/>
        <w:jc w:val="both"/>
      </w:pPr>
      <w:r>
        <w:rPr>
          <w:sz w:val="20"/>
          <w:szCs w:val="20"/>
        </w:rPr>
        <w:t>Moreno-Luzón, M. D., Gil-Marques, M., &amp; Valls-</w:t>
      </w:r>
      <w:proofErr w:type="spellStart"/>
      <w:r>
        <w:rPr>
          <w:sz w:val="20"/>
          <w:szCs w:val="20"/>
        </w:rPr>
        <w:t>Pasola</w:t>
      </w:r>
      <w:proofErr w:type="spellEnd"/>
      <w:r>
        <w:rPr>
          <w:sz w:val="20"/>
          <w:szCs w:val="20"/>
        </w:rPr>
        <w:t>, J. (2013). TQM, innovation and the role of cultural change. Industrial Management &amp; Data Systems, 113(8), 1149–1168.</w:t>
      </w:r>
    </w:p>
    <w:p w14:paraId="023BF055" w14:textId="77777777" w:rsidR="0086795C" w:rsidRDefault="0086795C" w:rsidP="0086795C">
      <w:pPr>
        <w:spacing w:after="100"/>
        <w:ind w:left="360" w:hanging="360"/>
        <w:jc w:val="both"/>
      </w:pPr>
      <w:r>
        <w:rPr>
          <w:sz w:val="20"/>
          <w:szCs w:val="20"/>
        </w:rPr>
        <w:t>Montgomery, D. C. (2020). Introduction to statistical quality control (8th ed.). Wiley.</w:t>
      </w:r>
    </w:p>
    <w:p w14:paraId="507F9869" w14:textId="77777777" w:rsidR="0086795C" w:rsidRDefault="0086795C" w:rsidP="0086795C">
      <w:pPr>
        <w:spacing w:after="100"/>
        <w:ind w:left="360" w:hanging="360"/>
        <w:jc w:val="both"/>
      </w:pPr>
      <w:r>
        <w:rPr>
          <w:sz w:val="20"/>
          <w:szCs w:val="20"/>
        </w:rPr>
        <w:t>Mukhtar, S., et al. (2024). Quality management and innovation performance in emerging economies. International Journal of Quality &amp; Reliability Management, 41(3), 789–810.</w:t>
      </w:r>
    </w:p>
    <w:p w14:paraId="4A06E271" w14:textId="77777777" w:rsidR="0086795C" w:rsidRDefault="0086795C" w:rsidP="0086795C">
      <w:pPr>
        <w:spacing w:after="100"/>
        <w:ind w:left="360" w:hanging="360"/>
        <w:jc w:val="both"/>
      </w:pPr>
      <w:proofErr w:type="spellStart"/>
      <w:r>
        <w:rPr>
          <w:sz w:val="20"/>
          <w:szCs w:val="20"/>
        </w:rPr>
        <w:t>Prajogo</w:t>
      </w:r>
      <w:proofErr w:type="spellEnd"/>
      <w:r>
        <w:rPr>
          <w:sz w:val="20"/>
          <w:szCs w:val="20"/>
        </w:rPr>
        <w:t xml:space="preserve">, D. I., &amp; Hong, S. W. (2008). The effect of TQM on performance in R&amp;D environments. </w:t>
      </w:r>
      <w:proofErr w:type="spellStart"/>
      <w:r>
        <w:rPr>
          <w:sz w:val="20"/>
          <w:szCs w:val="20"/>
        </w:rPr>
        <w:t>Technovation</w:t>
      </w:r>
      <w:proofErr w:type="spellEnd"/>
      <w:r>
        <w:rPr>
          <w:sz w:val="20"/>
          <w:szCs w:val="20"/>
        </w:rPr>
        <w:t>, 28(12), 855–863.</w:t>
      </w:r>
    </w:p>
    <w:p w14:paraId="0529E1EB" w14:textId="77777777" w:rsidR="0086795C" w:rsidRDefault="0086795C" w:rsidP="0086795C">
      <w:pPr>
        <w:spacing w:after="100"/>
        <w:ind w:left="360" w:hanging="360"/>
        <w:jc w:val="both"/>
      </w:pPr>
      <w:r>
        <w:rPr>
          <w:sz w:val="20"/>
          <w:szCs w:val="20"/>
        </w:rPr>
        <w:t>Ramayah, T., Yusr, M. M., Othman, A. R., &amp; Abdul-Halim, H. (2020). Quality management practices and product innovation. Benchmarking: An International Journal, 27(4), 1305–1328.</w:t>
      </w:r>
    </w:p>
    <w:p w14:paraId="32CCB82F" w14:textId="77777777" w:rsidR="0086795C" w:rsidRDefault="0086795C" w:rsidP="0086795C">
      <w:pPr>
        <w:spacing w:after="100"/>
        <w:ind w:left="360" w:hanging="360"/>
        <w:jc w:val="both"/>
      </w:pPr>
      <w:r>
        <w:rPr>
          <w:sz w:val="20"/>
          <w:szCs w:val="20"/>
        </w:rPr>
        <w:t>Saraph, J. V., Benson, P. G., &amp; Schroeder, R. G. (1989). An instrument for measuring the critical factors of quality management. Decision Sciences, 20(4), 810–829.</w:t>
      </w:r>
    </w:p>
    <w:p w14:paraId="72C2A54F" w14:textId="77777777" w:rsidR="0086795C" w:rsidRDefault="0086795C" w:rsidP="0086795C">
      <w:pPr>
        <w:spacing w:after="100"/>
        <w:ind w:left="360" w:hanging="360"/>
        <w:jc w:val="both"/>
      </w:pPr>
      <w:r>
        <w:rPr>
          <w:sz w:val="20"/>
          <w:szCs w:val="20"/>
        </w:rPr>
        <w:t xml:space="preserve">Yusr, M. M., </w:t>
      </w:r>
      <w:proofErr w:type="spellStart"/>
      <w:r>
        <w:rPr>
          <w:sz w:val="20"/>
          <w:szCs w:val="20"/>
        </w:rPr>
        <w:t>Salimon</w:t>
      </w:r>
      <w:proofErr w:type="spellEnd"/>
      <w:r>
        <w:rPr>
          <w:sz w:val="20"/>
          <w:szCs w:val="20"/>
        </w:rPr>
        <w:t>, M. G., Mokhtar, S. S. M., et al. (2022). Green innovation performance and quality management. Journal of Cleaner Production, 330, 129909.</w:t>
      </w:r>
    </w:p>
    <w:p w14:paraId="304CB76B" w14:textId="77777777" w:rsidR="0086795C" w:rsidRDefault="0086795C" w:rsidP="0086795C">
      <w:pPr>
        <w:spacing w:after="100"/>
        <w:ind w:left="360" w:hanging="360"/>
        <w:jc w:val="both"/>
      </w:pPr>
      <w:r>
        <w:rPr>
          <w:sz w:val="20"/>
          <w:szCs w:val="20"/>
        </w:rPr>
        <w:t>Zhang, D., Linderman, K., &amp; Schroeder, R. G. (2012). The moderating role of contextual factors on quality management practices. Journal of Operations Management, 30(1–2), 12–23.</w:t>
      </w:r>
    </w:p>
    <w:p w14:paraId="277CC712" w14:textId="77777777" w:rsidR="00790EF3" w:rsidRPr="00BE5853" w:rsidRDefault="00790EF3" w:rsidP="00BE5853"/>
    <w:sectPr w:rsidR="00790EF3" w:rsidRPr="00BE5853" w:rsidSect="00654C5F">
      <w:headerReference w:type="default" r:id="rId8"/>
      <w:pgSz w:w="12240" w:h="15840"/>
      <w:pgMar w:top="201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F7878" w14:textId="77777777" w:rsidR="001A1D3F" w:rsidRDefault="001A1D3F">
      <w:r>
        <w:separator/>
      </w:r>
    </w:p>
  </w:endnote>
  <w:endnote w:type="continuationSeparator" w:id="0">
    <w:p w14:paraId="2D00DA22" w14:textId="77777777" w:rsidR="001A1D3F" w:rsidRDefault="001A1D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DengXian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643B3" w14:textId="77777777" w:rsidR="001A1D3F" w:rsidRDefault="001A1D3F">
      <w:r>
        <w:separator/>
      </w:r>
    </w:p>
  </w:footnote>
  <w:footnote w:type="continuationSeparator" w:id="0">
    <w:p w14:paraId="5548473E" w14:textId="77777777" w:rsidR="001A1D3F" w:rsidRDefault="001A1D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9D73B" w14:textId="77777777" w:rsidR="00654C5F" w:rsidRPr="00775332" w:rsidRDefault="00654C5F" w:rsidP="00654C5F">
    <w:pPr>
      <w:pStyle w:val="FootnoteText"/>
      <w:spacing w:before="0" w:after="0" w:line="240" w:lineRule="auto"/>
      <w:jc w:val="right"/>
      <w:rPr>
        <w:rFonts w:asciiTheme="majorHAnsi" w:hAnsiTheme="majorHAnsi"/>
        <w:i/>
        <w:noProof/>
        <w:lang w:val="en-US" w:eastAsia="en-US"/>
      </w:rPr>
    </w:pPr>
    <w:r>
      <w:rPr>
        <w:rFonts w:ascii="Cambria" w:hAnsi="Cambria"/>
        <w:bCs/>
        <w:noProof/>
        <w:lang w:val="en-US" w:eastAsia="en-US"/>
      </w:rPr>
      <w:drawing>
        <wp:anchor distT="0" distB="0" distL="114300" distR="114300" simplePos="0" relativeHeight="251661312" behindDoc="0" locked="0" layoutInCell="1" allowOverlap="1" wp14:anchorId="539CE29E" wp14:editId="44AEB997">
          <wp:simplePos x="0" y="0"/>
          <wp:positionH relativeFrom="column">
            <wp:posOffset>0</wp:posOffset>
          </wp:positionH>
          <wp:positionV relativeFrom="paragraph">
            <wp:posOffset>9525</wp:posOffset>
          </wp:positionV>
          <wp:extent cx="1464373" cy="617517"/>
          <wp:effectExtent l="0" t="0" r="2540" b="0"/>
          <wp:wrapNone/>
          <wp:docPr id="1752758986" name="Picture 1752758986" descr="C:\Users\user\Downloads\IMAGE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IMAGE Log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64373" cy="617517"/>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tab/>
    </w:r>
    <w:r w:rsidRPr="00775332">
      <w:rPr>
        <w:rFonts w:asciiTheme="majorHAnsi" w:hAnsiTheme="majorHAnsi"/>
        <w:i/>
        <w:noProof/>
        <w:lang w:val="en-US" w:eastAsia="en-US"/>
      </w:rPr>
      <w:t>International Journal of Man</w:t>
    </w:r>
    <w:r>
      <w:rPr>
        <w:rFonts w:asciiTheme="majorHAnsi" w:hAnsiTheme="majorHAnsi"/>
        <w:i/>
        <w:noProof/>
        <w:lang w:val="en-US" w:eastAsia="en-US"/>
      </w:rPr>
      <w:t>agement, Accounting, Governance and</w:t>
    </w:r>
    <w:r w:rsidRPr="00775332">
      <w:rPr>
        <w:rFonts w:asciiTheme="majorHAnsi" w:hAnsiTheme="majorHAnsi"/>
        <w:i/>
        <w:noProof/>
        <w:lang w:val="en-US" w:eastAsia="en-US"/>
      </w:rPr>
      <w:t xml:space="preserve"> Education </w:t>
    </w:r>
  </w:p>
  <w:p w14:paraId="5FDD535D" w14:textId="2C8C7DD1" w:rsidR="00790EF3" w:rsidRDefault="00654C5F" w:rsidP="00654C5F">
    <w:pPr>
      <w:pStyle w:val="Header"/>
      <w:tabs>
        <w:tab w:val="clear" w:pos="8306"/>
        <w:tab w:val="right" w:pos="9270"/>
      </w:tabs>
    </w:pPr>
    <w:r>
      <w:rPr>
        <w:rFonts w:asciiTheme="majorHAnsi" w:hAnsiTheme="majorHAnsi"/>
        <w:b/>
        <w:i/>
        <w:noProof/>
      </w:rPr>
      <w:tab/>
    </w:r>
    <w:r>
      <w:rPr>
        <w:rFonts w:asciiTheme="majorHAnsi" w:hAnsiTheme="majorHAnsi"/>
        <w:b/>
        <w:i/>
        <w:noProof/>
      </w:rPr>
      <w:tab/>
      <w:t xml:space="preserve">       </w:t>
    </w:r>
    <w:r w:rsidRPr="00775332">
      <w:rPr>
        <w:rFonts w:asciiTheme="majorHAnsi" w:hAnsiTheme="majorHAnsi"/>
        <w:b/>
        <w:i/>
        <w:noProof/>
      </w:rPr>
      <w:t>202</w:t>
    </w:r>
    <w:r>
      <w:rPr>
        <w:rFonts w:asciiTheme="majorHAnsi" w:hAnsiTheme="majorHAnsi"/>
        <w:b/>
        <w:i/>
        <w:noProof/>
      </w:rPr>
      <w:t>5</w:t>
    </w:r>
    <w:r w:rsidRPr="00775332">
      <w:rPr>
        <w:rFonts w:asciiTheme="majorHAnsi" w:hAnsiTheme="majorHAnsi"/>
        <w:b/>
        <w:i/>
        <w:noProof/>
      </w:rPr>
      <w:t xml:space="preserve">, Volume 1, Issue </w:t>
    </w:r>
    <w:r>
      <w:rPr>
        <w:rFonts w:asciiTheme="majorHAnsi" w:hAnsiTheme="majorHAnsi"/>
        <w:b/>
        <w:i/>
        <w:noProof/>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F5E667"/>
    <w:multiLevelType w:val="singleLevel"/>
    <w:tmpl w:val="62F5E667"/>
    <w:lvl w:ilvl="0">
      <w:start w:val="2"/>
      <w:numFmt w:val="decimal"/>
      <w:suff w:val="space"/>
      <w:lvlText w:val="%1."/>
      <w:lvlJc w:val="left"/>
    </w:lvl>
  </w:abstractNum>
  <w:num w:numId="1" w16cid:durableId="18086650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2CD1"/>
    <w:rsid w:val="00000869"/>
    <w:rsid w:val="00066CFB"/>
    <w:rsid w:val="00103796"/>
    <w:rsid w:val="00125717"/>
    <w:rsid w:val="001A1D3F"/>
    <w:rsid w:val="001A6883"/>
    <w:rsid w:val="001C21F4"/>
    <w:rsid w:val="001C3F83"/>
    <w:rsid w:val="00203AFF"/>
    <w:rsid w:val="00246A25"/>
    <w:rsid w:val="00292635"/>
    <w:rsid w:val="002C60E5"/>
    <w:rsid w:val="002D5CF4"/>
    <w:rsid w:val="002F30FC"/>
    <w:rsid w:val="00371720"/>
    <w:rsid w:val="00386BE8"/>
    <w:rsid w:val="003D235A"/>
    <w:rsid w:val="00421E7D"/>
    <w:rsid w:val="005E1F14"/>
    <w:rsid w:val="005F4ADE"/>
    <w:rsid w:val="00654C5F"/>
    <w:rsid w:val="006A2CD1"/>
    <w:rsid w:val="00714848"/>
    <w:rsid w:val="00781C3C"/>
    <w:rsid w:val="00790EF3"/>
    <w:rsid w:val="007E1177"/>
    <w:rsid w:val="0083607F"/>
    <w:rsid w:val="0086795C"/>
    <w:rsid w:val="009042CA"/>
    <w:rsid w:val="00905A5B"/>
    <w:rsid w:val="00A177A4"/>
    <w:rsid w:val="00B417F0"/>
    <w:rsid w:val="00BD7997"/>
    <w:rsid w:val="00BE5853"/>
    <w:rsid w:val="00C34F5C"/>
    <w:rsid w:val="00C4692E"/>
    <w:rsid w:val="00D11E11"/>
    <w:rsid w:val="00D245F9"/>
    <w:rsid w:val="00D32EDC"/>
    <w:rsid w:val="00E33B04"/>
    <w:rsid w:val="00E407F2"/>
    <w:rsid w:val="00EC1031"/>
    <w:rsid w:val="00F7692E"/>
    <w:rsid w:val="00F82FF6"/>
    <w:rsid w:val="064467C1"/>
    <w:rsid w:val="0FE14290"/>
    <w:rsid w:val="1790368A"/>
    <w:rsid w:val="19A4505E"/>
    <w:rsid w:val="23521085"/>
    <w:rsid w:val="27C26E6C"/>
    <w:rsid w:val="2D063663"/>
    <w:rsid w:val="2E6D218B"/>
    <w:rsid w:val="2EBC05C2"/>
    <w:rsid w:val="40FC6671"/>
    <w:rsid w:val="4AE75EBB"/>
    <w:rsid w:val="4B977AF4"/>
    <w:rsid w:val="670C1ADF"/>
    <w:rsid w:val="6E471F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02B59E"/>
  <w15:docId w15:val="{5DC34AD7-8841-48C9-A82B-0D4B70DB5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795C"/>
    <w:rPr>
      <w:rFonts w:ascii="Cambria" w:eastAsia="Cambria" w:hAnsi="Cambria" w:cs="Cambria"/>
      <w:sz w:val="22"/>
      <w:szCs w:val="22"/>
      <w:lang w:val="en-MY" w:eastAsia="en-MY"/>
    </w:rPr>
  </w:style>
  <w:style w:type="paragraph" w:styleId="Heading1">
    <w:name w:val="heading 1"/>
    <w:basedOn w:val="Normal"/>
    <w:next w:val="Normal"/>
    <w:link w:val="Heading1Char"/>
    <w:uiPriority w:val="9"/>
    <w:qFormat/>
    <w:pPr>
      <w:keepNext/>
      <w:keepLines/>
      <w:spacing w:before="480" w:after="200" w:line="278" w:lineRule="auto"/>
      <w:outlineLvl w:val="0"/>
    </w:pPr>
    <w:rPr>
      <w:rFonts w:ascii="Times New Roman" w:eastAsiaTheme="majorEastAsia" w:hAnsi="Times New Roman" w:cstheme="majorBidi"/>
      <w:b/>
      <w:kern w:val="2"/>
      <w:sz w:val="24"/>
      <w:szCs w:val="40"/>
      <w:lang w:val="en-US" w:eastAsia="en-US"/>
      <w14:ligatures w14:val="standardContextual"/>
    </w:rPr>
  </w:style>
  <w:style w:type="paragraph" w:styleId="Heading2">
    <w:name w:val="heading 2"/>
    <w:basedOn w:val="Normal"/>
    <w:next w:val="Normal"/>
    <w:link w:val="Heading2Char"/>
    <w:uiPriority w:val="9"/>
    <w:semiHidden/>
    <w:unhideWhenUsed/>
    <w:qFormat/>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eastAsia="en-US"/>
      <w14:ligatures w14:val="standardContextual"/>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uiPriority w:val="99"/>
    <w:unhideWhenUsed/>
    <w:pPr>
      <w:tabs>
        <w:tab w:val="center" w:pos="4153"/>
        <w:tab w:val="right" w:pos="8306"/>
      </w:tabs>
      <w:snapToGrid w:val="0"/>
      <w:spacing w:after="160" w:line="278" w:lineRule="auto"/>
    </w:pPr>
    <w:rPr>
      <w:rFonts w:asciiTheme="minorHAnsi" w:eastAsiaTheme="minorHAnsi" w:hAnsiTheme="minorHAnsi" w:cstheme="minorBidi"/>
      <w:kern w:val="2"/>
      <w:sz w:val="18"/>
      <w:szCs w:val="24"/>
      <w:lang w:val="en-US" w:eastAsia="en-US"/>
      <w14:ligatures w14:val="standardContextual"/>
    </w:rPr>
  </w:style>
  <w:style w:type="paragraph" w:styleId="Header">
    <w:name w:val="header"/>
    <w:basedOn w:val="Normal"/>
    <w:uiPriority w:val="99"/>
    <w:unhideWhenUsed/>
    <w:qFormat/>
    <w:pPr>
      <w:pBdr>
        <w:top w:val="none" w:sz="0" w:space="1" w:color="auto"/>
        <w:left w:val="none" w:sz="0" w:space="4" w:color="auto"/>
        <w:bottom w:val="none" w:sz="0" w:space="1" w:color="auto"/>
        <w:right w:val="none" w:sz="0" w:space="4" w:color="auto"/>
      </w:pBdr>
      <w:tabs>
        <w:tab w:val="center" w:pos="4153"/>
        <w:tab w:val="right" w:pos="8306"/>
      </w:tabs>
      <w:snapToGrid w:val="0"/>
      <w:spacing w:after="160"/>
      <w:jc w:val="both"/>
    </w:pPr>
    <w:rPr>
      <w:rFonts w:asciiTheme="minorHAnsi" w:eastAsiaTheme="minorHAnsi" w:hAnsiTheme="minorHAnsi" w:cstheme="minorBidi"/>
      <w:kern w:val="2"/>
      <w:sz w:val="18"/>
      <w:szCs w:val="24"/>
      <w:lang w:val="en-US" w:eastAsia="en-US"/>
      <w14:ligatures w14:val="standardContextual"/>
    </w:rPr>
  </w:style>
  <w:style w:type="paragraph" w:styleId="Subtitle">
    <w:name w:val="Subtitle"/>
    <w:basedOn w:val="Normal"/>
    <w:next w:val="Normal"/>
    <w:link w:val="SubtitleChar"/>
    <w:uiPriority w:val="11"/>
    <w:qFormat/>
    <w:p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paragraph" w:styleId="Title">
    <w:name w:val="Title"/>
    <w:basedOn w:val="Normal"/>
    <w:next w:val="Normal"/>
    <w:link w:val="TitleChar"/>
    <w:uiPriority w:val="10"/>
    <w:qFormat/>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styleId="Hyperlink">
    <w:name w:val="Hyperlink"/>
    <w:basedOn w:val="DefaultParagraphFont"/>
    <w:uiPriority w:val="99"/>
    <w:unhideWhenUsed/>
    <w:qFormat/>
    <w:rPr>
      <w:color w:val="467886" w:themeColor="hyperlink"/>
      <w:u w:val="single"/>
    </w:rPr>
  </w:style>
  <w:style w:type="character" w:customStyle="1" w:styleId="Heading1Char">
    <w:name w:val="Heading 1 Char"/>
    <w:basedOn w:val="DefaultParagraphFont"/>
    <w:link w:val="Heading1"/>
    <w:uiPriority w:val="9"/>
    <w:qFormat/>
    <w:rPr>
      <w:rFonts w:ascii="Times New Roman" w:eastAsiaTheme="majorEastAsia" w:hAnsi="Times New Roman" w:cstheme="majorBidi"/>
      <w:b/>
      <w:szCs w:val="40"/>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qFormat/>
    <w:rPr>
      <w:rFonts w:eastAsiaTheme="majorEastAsia"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eastAsia="en-US"/>
      <w14:ligatures w14:val="standardContextual"/>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spacing w:after="160" w:line="278" w:lineRule="auto"/>
      <w:ind w:left="720"/>
      <w:contextualSpacing/>
    </w:pPr>
    <w:rPr>
      <w:rFonts w:asciiTheme="minorHAnsi" w:eastAsiaTheme="minorHAnsi" w:hAnsiTheme="minorHAnsi" w:cstheme="minorBidi"/>
      <w:kern w:val="2"/>
      <w:sz w:val="24"/>
      <w:szCs w:val="24"/>
      <w:lang w:val="en-US" w:eastAsia="en-US"/>
      <w14:ligatures w14:val="standardContextual"/>
    </w:rPr>
  </w:style>
  <w:style w:type="character" w:customStyle="1" w:styleId="IntenseEmphasis1">
    <w:name w:val="Intense Emphasis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US" w:eastAsia="en-US"/>
      <w14:ligatures w14:val="standardContextual"/>
    </w:rPr>
  </w:style>
  <w:style w:type="character" w:customStyle="1" w:styleId="IntenseQuoteChar">
    <w:name w:val="Intense Quote Char"/>
    <w:basedOn w:val="DefaultParagraphFont"/>
    <w:link w:val="IntenseQuote"/>
    <w:uiPriority w:val="30"/>
    <w:qFormat/>
    <w:rPr>
      <w:i/>
      <w:iCs/>
      <w:color w:val="0F4761" w:themeColor="accent1" w:themeShade="BF"/>
    </w:rPr>
  </w:style>
  <w:style w:type="character" w:customStyle="1" w:styleId="IntenseReference1">
    <w:name w:val="Intense Reference1"/>
    <w:basedOn w:val="DefaultParagraphFont"/>
    <w:uiPriority w:val="32"/>
    <w:qFormat/>
    <w:rPr>
      <w:b/>
      <w:bCs/>
      <w:smallCaps/>
      <w:color w:val="0F4761" w:themeColor="accent1" w:themeShade="BF"/>
      <w:spacing w:val="5"/>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customStyle="1" w:styleId="Author">
    <w:name w:val="Author"/>
    <w:qFormat/>
    <w:pPr>
      <w:spacing w:before="360" w:after="40"/>
      <w:jc w:val="center"/>
    </w:pPr>
    <w:rPr>
      <w:sz w:val="22"/>
      <w:szCs w:val="22"/>
    </w:rPr>
  </w:style>
  <w:style w:type="paragraph" w:styleId="BalloonText">
    <w:name w:val="Balloon Text"/>
    <w:basedOn w:val="Normal"/>
    <w:link w:val="BalloonTextChar"/>
    <w:uiPriority w:val="99"/>
    <w:semiHidden/>
    <w:unhideWhenUsed/>
    <w:rsid w:val="00654C5F"/>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654C5F"/>
    <w:rPr>
      <w:rFonts w:ascii="Tahoma" w:eastAsia="Calibri" w:hAnsi="Tahoma" w:cs="Tahoma"/>
      <w:sz w:val="16"/>
      <w:szCs w:val="16"/>
    </w:rPr>
  </w:style>
  <w:style w:type="paragraph" w:styleId="FootnoteText">
    <w:name w:val="footnote text"/>
    <w:basedOn w:val="Normal"/>
    <w:link w:val="FootnoteTextChar"/>
    <w:uiPriority w:val="99"/>
    <w:rsid w:val="00654C5F"/>
    <w:pPr>
      <w:spacing w:before="120" w:after="120" w:line="360" w:lineRule="auto"/>
      <w:jc w:val="both"/>
    </w:pPr>
    <w:rPr>
      <w:rFonts w:ascii="Times New Roman" w:eastAsia="Times New Roman" w:hAnsi="Times New Roman" w:cs="Times New Roman"/>
      <w:sz w:val="20"/>
      <w:szCs w:val="20"/>
      <w:lang w:val="x-none" w:eastAsia="x-none"/>
    </w:rPr>
  </w:style>
  <w:style w:type="character" w:customStyle="1" w:styleId="FootnoteTextChar">
    <w:name w:val="Footnote Text Char"/>
    <w:basedOn w:val="DefaultParagraphFont"/>
    <w:link w:val="FootnoteText"/>
    <w:uiPriority w:val="99"/>
    <w:rsid w:val="00654C5F"/>
    <w:rPr>
      <w:rFonts w:eastAsia="Times New Roman"/>
      <w:lang w:val="x-none" w:eastAsia="x-none"/>
    </w:rPr>
  </w:style>
  <w:style w:type="table" w:styleId="TableGrid">
    <w:name w:val="Table Grid"/>
    <w:basedOn w:val="TableNormal"/>
    <w:uiPriority w:val="39"/>
    <w:rsid w:val="00421E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2108</Words>
  <Characters>13474</Characters>
  <Application>Microsoft Office Word</Application>
  <DocSecurity>0</DocSecurity>
  <Lines>217</Lines>
  <Paragraphs>92</Paragraphs>
  <ScaleCrop>false</ScaleCrop>
  <Company/>
  <LinksUpToDate>false</LinksUpToDate>
  <CharactersWithSpaces>15490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Assoc. Prof. Dr. Zaida Binti Mustafa</dc:creator>
  <cp:lastModifiedBy>roland xavier</cp:lastModifiedBy>
  <cp:revision>2</cp:revision>
  <dcterms:created xsi:type="dcterms:W3CDTF">2026-08-26T14:38:00Z</dcterms:created>
  <dcterms:modified xsi:type="dcterms:W3CDTF">2026-08-26T14:38:00Z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eyJoZGlkIjoiYTdlN2U3YmIwNWZhNGFjMGQzN2I4ZjRmOGJjZGUxNTUiLCJ1c2VySWQiOiIxMzYwODE4MjIzIn0=</vt:lpwstr>
  </property>
  <property fmtid="{D5CDD505-2E9C-101B-9397-08002B2CF9AE}" pid="3" name="KSOProductBuildVer">
    <vt:lpwstr>2052-12.1.0.23542</vt:lpwstr>
  </property>
  <property fmtid="{D5CDD505-2E9C-101B-9397-08002B2CF9AE}" pid="4" name="ICV">
    <vt:lpwstr>A8B1375DE39740218E1E8897E17906E4_13</vt:lpwstr>
  </property>
  <property fmtid="{D5CDD505-2E9C-101B-9397-08002B2CF9AE}" pid="5" name="GrammarlyDocumentId">
    <vt:lpwstr>e21d4ceb-6cc3-4a8f-b012-5a7794788ff9</vt:lpwstr>
  </property>
</Properties>
</file>