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69AE58">
      <w:pPr>
        <w:pStyle w:val="6"/>
        <w:spacing w:before="202"/>
        <w:rPr>
          <w:i/>
          <w:iCs/>
          <w:spacing w:val="-3"/>
        </w:rPr>
      </w:pPr>
      <w:r>
        <w:pict>
          <v:shape id="_x0000_s1026" o:spid="_x0000_s1026" o:spt="202" type="#_x0000_t202" style="position:absolute;left:0pt;margin-left:97.05pt;margin-top:-1pt;height:16.65pt;width:364.4pt;z-index:251659264;mso-width-relative:page;mso-height-relative:page;" filled="f" stroked="f" coordsize="21600,21600">
            <v:path/>
            <v:fill on="f" focussize="0,0"/>
            <v:stroke on="f"/>
            <v:imagedata o:title=""/>
            <o:lock v:ext="edit" aspectratio="f"/>
            <v:textbox inset="0mm,0mm,0mm,0mm">
              <w:txbxContent>
                <w:p w14:paraId="20FED711">
                  <w:pPr>
                    <w:pStyle w:val="6"/>
                    <w:spacing w:before="20" w:line="292" w:lineRule="exact"/>
                    <w:ind w:left="20"/>
                  </w:pPr>
                  <w:r>
                    <w:rPr>
                      <w:i/>
                      <w:iCs/>
                      <w:position w:val="4"/>
                    </w:rPr>
                    <w:t>InternationalJournal</w:t>
                  </w:r>
                  <w:r>
                    <w:rPr>
                      <w:i/>
                      <w:iCs/>
                      <w:spacing w:val="1"/>
                      <w:position w:val="4"/>
                    </w:rPr>
                    <w:t xml:space="preserve">   </w:t>
                  </w:r>
                  <w:r>
                    <w:rPr>
                      <w:i/>
                      <w:iCs/>
                      <w:position w:val="4"/>
                    </w:rPr>
                    <w:t>of</w:t>
                  </w:r>
                  <w:r>
                    <w:rPr>
                      <w:i/>
                      <w:iCs/>
                      <w:spacing w:val="22"/>
                      <w:position w:val="4"/>
                    </w:rPr>
                    <w:t xml:space="preserve">  </w:t>
                  </w:r>
                  <w:r>
                    <w:rPr>
                      <w:i/>
                      <w:iCs/>
                      <w:position w:val="4"/>
                    </w:rPr>
                    <w:t>Management</w:t>
                  </w:r>
                  <w:r>
                    <w:rPr>
                      <w:i/>
                      <w:iCs/>
                      <w:spacing w:val="1"/>
                      <w:position w:val="4"/>
                    </w:rPr>
                    <w:t>,</w:t>
                  </w:r>
                  <w:r>
                    <w:rPr>
                      <w:i/>
                      <w:iCs/>
                      <w:position w:val="4"/>
                    </w:rPr>
                    <w:t>Accounting</w:t>
                  </w:r>
                  <w:r>
                    <w:rPr>
                      <w:i/>
                      <w:iCs/>
                      <w:spacing w:val="1"/>
                      <w:position w:val="4"/>
                    </w:rPr>
                    <w:t>,</w:t>
                  </w:r>
                  <w:r>
                    <w:rPr>
                      <w:i/>
                      <w:iCs/>
                      <w:position w:val="4"/>
                    </w:rPr>
                    <w:t>Governance</w:t>
                  </w:r>
                  <w:r>
                    <w:rPr>
                      <w:i/>
                      <w:iCs/>
                      <w:spacing w:val="1"/>
                      <w:position w:val="4"/>
                    </w:rPr>
                    <w:t xml:space="preserve">   </w:t>
                  </w:r>
                  <w:r>
                    <w:rPr>
                      <w:i/>
                      <w:iCs/>
                      <w:position w:val="4"/>
                    </w:rPr>
                    <w:t>and</w:t>
                  </w:r>
                  <w:r>
                    <w:rPr>
                      <w:i/>
                      <w:iCs/>
                      <w:spacing w:val="1"/>
                      <w:position w:val="4"/>
                    </w:rPr>
                    <w:t xml:space="preserve">   </w:t>
                  </w:r>
                  <w:r>
                    <w:rPr>
                      <w:i/>
                      <w:iCs/>
                      <w:position w:val="4"/>
                    </w:rPr>
                    <w:t>Education</w:t>
                  </w:r>
                </w:p>
              </w:txbxContent>
            </v:textbox>
          </v:shape>
        </w:pict>
      </w:r>
      <w:r>
        <w:rPr>
          <w:position w:val="-40"/>
        </w:rPr>
        <w:drawing>
          <wp:inline distT="0" distB="0" distL="0" distR="0">
            <wp:extent cx="1301750" cy="488315"/>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301799" cy="488939"/>
                    </a:xfrm>
                    <a:prstGeom prst="rect">
                      <a:avLst/>
                    </a:prstGeom>
                  </pic:spPr>
                </pic:pic>
              </a:graphicData>
            </a:graphic>
          </wp:inline>
        </w:drawing>
      </w:r>
      <w:r>
        <w:rPr>
          <w:spacing w:val="1"/>
        </w:rPr>
        <w:t xml:space="preserve">                                                             </w:t>
      </w:r>
      <w:r>
        <w:t xml:space="preserve">                             </w:t>
      </w:r>
      <w:r>
        <w:rPr>
          <w:spacing w:val="-3"/>
        </w:rPr>
        <w:t>202</w:t>
      </w:r>
      <w:r>
        <w:rPr>
          <w:rFonts w:hint="eastAsia" w:eastAsia="宋体"/>
          <w:spacing w:val="-3"/>
          <w:lang w:val="en-US" w:eastAsia="zh-CN"/>
        </w:rPr>
        <w:t>6</w:t>
      </w:r>
      <w:r>
        <w:rPr>
          <w:spacing w:val="-3"/>
        </w:rPr>
        <w:t>,</w:t>
      </w:r>
      <w:r>
        <w:rPr>
          <w:i/>
          <w:iCs/>
          <w:spacing w:val="-3"/>
        </w:rPr>
        <w:t>Volume</w:t>
      </w:r>
      <w:r>
        <w:rPr>
          <w:i/>
          <w:iCs/>
          <w:spacing w:val="44"/>
        </w:rPr>
        <w:t xml:space="preserve"> </w:t>
      </w:r>
      <w:r>
        <w:rPr>
          <w:i/>
          <w:iCs/>
          <w:spacing w:val="-3"/>
        </w:rPr>
        <w:t>1</w:t>
      </w:r>
      <w:r>
        <w:rPr>
          <w:spacing w:val="-3"/>
        </w:rPr>
        <w:t xml:space="preserve">,I </w:t>
      </w:r>
      <w:r>
        <w:rPr>
          <w:i/>
          <w:iCs/>
          <w:spacing w:val="-3"/>
        </w:rPr>
        <w:t>ssue</w:t>
      </w:r>
      <w:r>
        <w:rPr>
          <w:i/>
          <w:iCs/>
          <w:spacing w:val="35"/>
        </w:rPr>
        <w:t xml:space="preserve"> </w:t>
      </w:r>
      <w:r>
        <w:rPr>
          <w:i/>
          <w:iCs/>
          <w:spacing w:val="-3"/>
        </w:rPr>
        <w:t>2</w:t>
      </w:r>
    </w:p>
    <w:p w14:paraId="49384C79">
      <w:pPr>
        <w:spacing w:after="0"/>
        <w:jc w:val="center"/>
        <w:rPr>
          <w:rFonts w:ascii="Cambria" w:hAnsi="Cambria"/>
          <w:b/>
          <w:sz w:val="28"/>
          <w:szCs w:val="28"/>
          <w:lang w:val="en-GB"/>
        </w:rPr>
      </w:pPr>
      <w:r>
        <w:rPr>
          <w:rFonts w:hint="eastAsia" w:ascii="Cambria" w:hAnsi="Cambria"/>
          <w:b/>
          <w:sz w:val="28"/>
          <w:szCs w:val="28"/>
          <w:lang w:val="en-GB"/>
        </w:rPr>
        <w:t>Emotional Intelligence and Vocational Identity Among Trainee Teachers: The Specific Indirect Association via Vocational Self-Concept Crystallization</w:t>
      </w:r>
    </w:p>
    <w:p w14:paraId="4F92671A">
      <w:pPr>
        <w:pStyle w:val="14"/>
        <w:rPr>
          <w:rFonts w:ascii="Cambria" w:hAnsi="Cambria"/>
          <w:sz w:val="20"/>
          <w:vertAlign w:val="superscript"/>
        </w:rPr>
      </w:pPr>
      <w:r>
        <w:rPr>
          <w:rFonts w:hint="eastAsia" w:ascii="Cambria" w:hAnsi="Cambria" w:eastAsia="宋体"/>
          <w:sz w:val="20"/>
          <w:lang w:val="en-US" w:eastAsia="zh-CN"/>
        </w:rPr>
        <w:t>SUN XU</w:t>
      </w:r>
      <w:r>
        <w:rPr>
          <w:rFonts w:ascii="Cambria" w:hAnsi="Cambria"/>
          <w:sz w:val="20"/>
          <w:vertAlign w:val="superscript"/>
        </w:rPr>
        <w:t>1,</w:t>
      </w:r>
      <w:r>
        <w:rPr>
          <w:rFonts w:ascii="Cambria" w:hAnsi="Cambria"/>
          <w:sz w:val="20"/>
        </w:rPr>
        <w:t xml:space="preserve"> , </w:t>
      </w:r>
      <w:r>
        <w:rPr>
          <w:rFonts w:hint="eastAsia" w:ascii="Cambria" w:hAnsi="Cambria"/>
          <w:sz w:val="20"/>
        </w:rPr>
        <w:t>Hamidah Mohamad</w:t>
      </w:r>
      <w:r>
        <w:rPr>
          <w:rFonts w:ascii="Cambria" w:hAnsi="Cambria"/>
          <w:sz w:val="20"/>
          <w:vertAlign w:val="superscript"/>
        </w:rPr>
        <w:t>2</w:t>
      </w:r>
      <w:r>
        <w:rPr>
          <w:rFonts w:ascii="Cambria" w:hAnsi="Cambria"/>
          <w:sz w:val="20"/>
        </w:rPr>
        <w:t xml:space="preserve"> </w:t>
      </w:r>
    </w:p>
    <w:p w14:paraId="3E8A3BF8">
      <w:pPr>
        <w:pStyle w:val="15"/>
        <w:rPr>
          <w:rFonts w:ascii="Cambria" w:hAnsi="Cambria"/>
        </w:rPr>
      </w:pPr>
    </w:p>
    <w:p w14:paraId="582B65AB">
      <w:pPr>
        <w:pStyle w:val="15"/>
        <w:rPr>
          <w:rFonts w:ascii="Cambria" w:hAnsi="Cambria"/>
        </w:rPr>
      </w:pPr>
      <w:r>
        <w:rPr>
          <w:rFonts w:ascii="Cambria" w:hAnsi="Cambria"/>
          <w:vertAlign w:val="superscript"/>
        </w:rPr>
        <w:t>1</w:t>
      </w:r>
      <w:r>
        <w:rPr>
          <w:rFonts w:hint="eastAsia" w:ascii="Cambria" w:hAnsi="Cambria"/>
        </w:rPr>
        <w:t>Universiti Tun Abdul Razak, Kuala Lumpur,50400</w:t>
      </w:r>
      <w:r>
        <w:rPr>
          <w:rFonts w:hint="eastAsia" w:ascii="Cambria" w:hAnsi="Cambria" w:eastAsia="宋体"/>
          <w:lang w:val="en-US" w:eastAsia="zh-CN"/>
        </w:rPr>
        <w:t>,</w:t>
      </w:r>
      <w:r>
        <w:rPr>
          <w:rFonts w:hint="eastAsia" w:ascii="Cambria" w:hAnsi="Cambria"/>
        </w:rPr>
        <w:t xml:space="preserve"> Malaysia. </w:t>
      </w:r>
    </w:p>
    <w:p w14:paraId="13E84364">
      <w:pPr>
        <w:pStyle w:val="15"/>
        <w:rPr>
          <w:rFonts w:ascii="Cambria" w:hAnsi="Cambria"/>
        </w:rPr>
      </w:pPr>
      <w:r>
        <w:rPr>
          <w:rFonts w:ascii="Cambria" w:hAnsi="Cambria"/>
          <w:vertAlign w:val="superscript"/>
        </w:rPr>
        <w:t>2</w:t>
      </w:r>
      <w:r>
        <w:rPr>
          <w:rFonts w:hint="eastAsia" w:ascii="Cambria" w:hAnsi="Cambria"/>
        </w:rPr>
        <w:t>Universiti Tun Abdul Razak, Kuala Lumpur, 50400</w:t>
      </w:r>
      <w:r>
        <w:rPr>
          <w:rFonts w:hint="eastAsia" w:ascii="Cambria" w:hAnsi="Cambria" w:eastAsia="宋体"/>
          <w:lang w:val="en-US" w:eastAsia="zh-CN"/>
        </w:rPr>
        <w:t xml:space="preserve">, </w:t>
      </w:r>
      <w:r>
        <w:rPr>
          <w:rFonts w:hint="eastAsia" w:ascii="Cambria" w:hAnsi="Cambria"/>
        </w:rPr>
        <w:t>Malaysia</w:t>
      </w:r>
      <w:r>
        <w:rPr>
          <w:rFonts w:hint="eastAsia" w:ascii="Cambria" w:hAnsi="Cambria" w:eastAsia="宋体"/>
          <w:lang w:val="en-US" w:eastAsia="zh-CN"/>
        </w:rPr>
        <w:t>.</w:t>
      </w:r>
    </w:p>
    <w:p w14:paraId="5174FDDF">
      <w:pPr>
        <w:pStyle w:val="15"/>
        <w:ind w:left="3600" w:firstLine="320" w:firstLineChars="200"/>
        <w:jc w:val="left"/>
        <w:rPr>
          <w:rFonts w:ascii="Cambria" w:hAnsi="Cambria"/>
          <w:i/>
          <w:sz w:val="16"/>
          <w:szCs w:val="16"/>
        </w:rPr>
      </w:pPr>
      <w:r>
        <w:rPr>
          <w:rFonts w:ascii="Cambria" w:hAnsi="Cambria"/>
          <w:i/>
          <w:sz w:val="16"/>
          <w:szCs w:val="16"/>
          <w:vertAlign w:val="superscript"/>
        </w:rPr>
        <w:t xml:space="preserve">                *</w:t>
      </w:r>
      <w:r>
        <w:rPr>
          <w:rFonts w:hint="eastAsia" w:ascii="Cambria" w:hAnsi="Cambria"/>
          <w:color w:val="0000FF"/>
          <w:sz w:val="16"/>
          <w:szCs w:val="16"/>
        </w:rPr>
        <w:t>sun.xu@ur.unirazak.edu.my</w:t>
      </w:r>
      <w:r>
        <w:rPr>
          <w:rFonts w:ascii="Cambria" w:hAnsi="Cambria"/>
          <w:color w:val="0000FF"/>
          <w:sz w:val="16"/>
          <w:szCs w:val="16"/>
        </w:rPr>
        <w:t xml:space="preserve"> </w:t>
      </w:r>
    </w:p>
    <w:p w14:paraId="280ABE61">
      <w:pPr>
        <w:spacing w:after="0"/>
        <w:jc w:val="center"/>
        <w:rPr>
          <w:rFonts w:ascii="Cambria" w:hAnsi="Cambria"/>
          <w:sz w:val="22"/>
        </w:rPr>
      </w:pPr>
    </w:p>
    <w:p w14:paraId="3F366482">
      <w:pPr>
        <w:spacing w:after="0"/>
        <w:jc w:val="center"/>
        <w:rPr>
          <w:rFonts w:ascii="Cambria" w:hAnsi="Cambria"/>
          <w:szCs w:val="20"/>
        </w:rPr>
      </w:pPr>
    </w:p>
    <w:p w14:paraId="24BA9DD4">
      <w:pPr>
        <w:pStyle w:val="16"/>
        <w:spacing w:after="0" w:line="240" w:lineRule="auto"/>
        <w:ind w:firstLine="0"/>
        <w:jc w:val="center"/>
        <w:rPr>
          <w:rFonts w:ascii="Cambria" w:hAnsi="Cambria"/>
          <w:sz w:val="20"/>
        </w:rPr>
      </w:pPr>
      <w:r>
        <w:rPr>
          <w:rFonts w:ascii="Cambria" w:hAnsi="Cambria"/>
          <w:sz w:val="20"/>
        </w:rPr>
        <w:t>ABSTRACT</w:t>
      </w:r>
    </w:p>
    <w:p w14:paraId="26459640">
      <w:pPr>
        <w:pStyle w:val="16"/>
        <w:spacing w:after="0" w:line="240" w:lineRule="auto"/>
        <w:ind w:firstLine="0"/>
        <w:jc w:val="center"/>
        <w:rPr>
          <w:rFonts w:ascii="Cambria" w:hAnsi="Cambria"/>
          <w:sz w:val="20"/>
        </w:rPr>
      </w:pPr>
    </w:p>
    <w:p w14:paraId="56A1CC9F">
      <w:pPr>
        <w:spacing w:after="0"/>
        <w:ind w:left="720" w:right="746"/>
        <w:jc w:val="both"/>
        <w:rPr>
          <w:rFonts w:ascii="Cambria" w:hAnsi="Cambria"/>
          <w:i/>
          <w:szCs w:val="20"/>
          <w:lang w:val="en-GB"/>
        </w:rPr>
      </w:pPr>
      <w:r>
        <w:rPr>
          <w:rFonts w:hint="eastAsia" w:ascii="Cambria" w:hAnsi="Cambria"/>
          <w:i/>
          <w:szCs w:val="20"/>
        </w:rPr>
        <w:t>This study examined whether crystallizing, defined as clarifying one’s vocational self-concept, specifically accounted for the association between emotional intelligence and vocational identity among trainee teachers. A cross-sectional survey involved 678 first- to third-year trainee teachers from six higher-education institutions in Jilin Province, China. Chinese versions of the Schutte Self-Report Emotional Intelligence Test, the crystallizing subscale of the Student Career Construction Inventory, and the Vocational Identity Status Assessment measured the focal constructs. Data were analysed using partial least squares structural equation modelling and bootstrapping with 5,000 resamples. Emotional intelligence was positively associated with crystallizing (β = .440, p &lt; .001). In a parallel model containing all four career construction responses, crystallizing remained positively associated with vocational identity after controlling for emotional intelligence and the other responses (β = .136, p &lt; .001). Emotional intelligence also retained a significant direct association with vocational identity (β = .181, p &lt; .001). The specific indirect association through crystallizing was positive but small (β = .060, p = .001). Thus, vocational self-clarification may partly account for this association among participants. However, the cross-sectional design prevents causal or temporal inference. Moreover, the outcome assessed general vocational identity, not teacher professional identity or intention to enter teaching.</w:t>
      </w:r>
    </w:p>
    <w:p w14:paraId="1833D285">
      <w:pPr>
        <w:spacing w:after="0"/>
        <w:ind w:right="746"/>
        <w:rPr>
          <w:rFonts w:ascii="Cambria" w:hAnsi="Cambria"/>
          <w:i/>
          <w:szCs w:val="20"/>
          <w:lang w:val="en-GB"/>
        </w:rPr>
      </w:pPr>
    </w:p>
    <w:p w14:paraId="171FFB3B">
      <w:pPr>
        <w:spacing w:after="0"/>
        <w:ind w:left="720" w:right="746"/>
        <w:rPr>
          <w:rFonts w:ascii="Cambria" w:hAnsi="Cambria"/>
          <w:szCs w:val="20"/>
        </w:rPr>
      </w:pPr>
      <w:r>
        <w:rPr>
          <w:rFonts w:ascii="Cambria" w:hAnsi="Cambria"/>
          <w:b/>
          <w:szCs w:val="20"/>
        </w:rPr>
        <w:t xml:space="preserve">Keywords: </w:t>
      </w:r>
      <w:r>
        <w:rPr>
          <w:rFonts w:hint="eastAsia" w:ascii="Cambria" w:hAnsi="Cambria"/>
          <w:szCs w:val="20"/>
        </w:rPr>
        <w:t>emotional intelligence; crystallizing; vocational identity; career construction; trainee teachers</w:t>
      </w:r>
      <w:r>
        <w:rPr>
          <w:rFonts w:ascii="Cambria" w:hAnsi="Cambria"/>
          <w:szCs w:val="20"/>
        </w:rPr>
        <w:t xml:space="preserve"> </w:t>
      </w:r>
    </w:p>
    <w:p w14:paraId="40F5C1C7">
      <w:pPr>
        <w:spacing w:after="0"/>
        <w:ind w:left="720" w:right="746"/>
        <w:rPr>
          <w:rFonts w:ascii="Cambria" w:hAnsi="Cambria"/>
          <w:b/>
          <w:sz w:val="22"/>
        </w:rPr>
      </w:pPr>
      <w:bookmarkStart w:id="0" w:name="_GoBack"/>
      <w:bookmarkEnd w:id="0"/>
    </w:p>
    <w:p w14:paraId="2F17C3BD">
      <w:pPr>
        <w:tabs>
          <w:tab w:val="left" w:pos="1814"/>
        </w:tabs>
        <w:spacing w:after="0"/>
        <w:ind w:left="720" w:right="746"/>
        <w:rPr>
          <w:rFonts w:ascii="Cambria" w:hAnsi="Cambria"/>
          <w:b/>
          <w:sz w:val="22"/>
        </w:rPr>
      </w:pPr>
      <w:r>
        <w:rPr>
          <w:rFonts w:ascii="Cambria" w:hAnsi="Cambria"/>
          <w:b/>
          <w:sz w:val="22"/>
        </w:rPr>
        <w:tab/>
      </w:r>
    </w:p>
    <w:p w14:paraId="3DBCF856">
      <w:pPr>
        <w:pStyle w:val="2"/>
        <w:numPr>
          <w:ilvl w:val="0"/>
          <w:numId w:val="1"/>
        </w:numPr>
        <w:spacing w:before="0" w:after="0"/>
        <w:rPr>
          <w:rFonts w:ascii="Cambria" w:hAnsi="Cambria"/>
          <w:b w:val="0"/>
          <w:szCs w:val="22"/>
        </w:rPr>
      </w:pPr>
      <w:r>
        <w:rPr>
          <w:rFonts w:ascii="Cambria" w:hAnsi="Cambria"/>
          <w:szCs w:val="22"/>
        </w:rPr>
        <w:t xml:space="preserve"> INTRODUCTION</w:t>
      </w:r>
    </w:p>
    <w:p w14:paraId="158FCA72">
      <w:pPr>
        <w:spacing w:after="0"/>
        <w:rPr>
          <w:rFonts w:ascii="Cambria" w:hAnsi="Cambria"/>
          <w:sz w:val="22"/>
          <w:lang w:val="en-GB"/>
        </w:rPr>
      </w:pPr>
    </w:p>
    <w:p w14:paraId="588D81C0">
      <w:pPr>
        <w:spacing w:after="0"/>
        <w:jc w:val="both"/>
        <w:rPr>
          <w:rFonts w:hint="eastAsia" w:ascii="Cambria" w:hAnsi="Cambria"/>
          <w:sz w:val="22"/>
          <w:lang w:val="en-GB"/>
        </w:rPr>
      </w:pPr>
      <w:r>
        <w:rPr>
          <w:rFonts w:hint="eastAsia" w:ascii="Cambria" w:hAnsi="Cambria"/>
          <w:sz w:val="22"/>
          <w:lang w:val="en-GB"/>
        </w:rPr>
        <w:t xml:space="preserve">Teacher education is expected not only to develop future teachers' subject knowledge and pedagogical competence but also to prepare them for technological change, evolving professional expectations, and career-development challenges. The growing use of digital technologies and artificial intelligence, increasingly diverse learner needs, and continuing professional-learning requirements have heightened attention to the coherence of initial teacher preparation (OECD, 2025; Hunzicker, 2018; Ofsted, 2025). In China, teacher education reforms emphasize professional ethics, pedagogical competence, student-centred practice, and continuing professional development. Meanwhile, higher-education expansion and changing employment conditions have made the transition from university to employment increasingly complex (Ministry of Education of the People's Republic of China, 2012; CPC Central Committee &amp; State Council, 2018, 2024; Dai et al., 2022). Importantly, enrolment in a teacher-education programme does not necessarily imply an intention to enter teaching. Trainee teachers may consider teaching alongside other occupational possibilities as they evaluate their interests, values, abilities, and employment opportunities (Liu et al., 2023; Wu et al., 2025). </w:t>
      </w:r>
    </w:p>
    <w:p w14:paraId="1BEB88D1">
      <w:pPr>
        <w:spacing w:after="0"/>
        <w:jc w:val="both"/>
        <w:rPr>
          <w:rFonts w:hint="eastAsia" w:ascii="Cambria" w:hAnsi="Cambria"/>
          <w:sz w:val="22"/>
          <w:lang w:val="en-GB"/>
        </w:rPr>
      </w:pPr>
      <w:r>
        <w:rPr>
          <w:rFonts w:hint="eastAsia" w:ascii="Cambria" w:hAnsi="Cambria"/>
          <w:sz w:val="22"/>
          <w:lang w:val="en-GB"/>
        </w:rPr>
        <w:t>Jilin Province provides a relevant context for examining vocational identity among trainee teachers because of its regional development conditions, educational-resource distribution, and graduate-employment pressures (General Office of the People's Government of Jilin Province, 2022; Jilin Provincial Development Research Center, 2023). From the perspective of Career Construction Theory, vocational identity develops as individuals assign meaning to their career experiences and adapt to career tasks and transitions. Career construction responses—including crystallizing, exploring, deciding, and preparing—may therefore help trainee teachers develop clearer and more personally meaningful career directions, whether within or beyond the teaching profession (Savickas, 2005, 2013, 2021; Savickas et al., 2018).</w:t>
      </w:r>
    </w:p>
    <w:p w14:paraId="1B6D3D59">
      <w:pPr>
        <w:spacing w:after="0"/>
        <w:jc w:val="both"/>
        <w:rPr>
          <w:rFonts w:hint="eastAsia" w:ascii="Cambria" w:hAnsi="Cambria"/>
          <w:sz w:val="22"/>
          <w:lang w:val="en-GB"/>
        </w:rPr>
      </w:pPr>
      <w:r>
        <w:rPr>
          <w:rFonts w:hint="eastAsia" w:ascii="Cambria" w:hAnsi="Cambria"/>
          <w:sz w:val="22"/>
          <w:lang w:val="en-GB"/>
        </w:rPr>
        <w:t>Vocational identity is a multidimensional construct concerning how individuals explore occupational possibilities, form and identify with career commitments, remain flexible toward those commitments, and experience career-related self-doubt (Porfeli et al., 2011). Recent research has increasingly conceptualized vocational identity as a dynamic developmental process rather than a single, static outcome. The Vocational Identity Status Assessment (VISA) organizes vocational identity around the broader processes of career exploration, career commitment, and career reconsideration. Its multidimensional structure has been examined across different college populations and cultural contexts, including university and technical-college students in the United States and China (Zhang et al., 2019; Weigold et al., 2021). Recent studies have also used longitudinal designs, latent profile analysis, and latent change score modelling to investigate relationships among vocational identity processes, identify distinct identity configurations, and trace developmental changes over time (Lee et al., 2022; Yuan et al., 2022; Kim et al., 2023; Li et al., 2024). A recent scoping review further shows that vocational identity has been conceptualized as a relatively stable psychological structure, a dynamic and socially constructed identity, and a career-related developmental process, underscoring the importance of specifying the theoretical meaning adopted in each study (Kryger &amp; Qvortrup, 2025). In the present study, vocational identity is understood as a general career-development construct. Although the participants were enrolled in teacher-education programmes, the measure was not contextualized specifically to teaching. The construct should therefore be distinguished from teacher professional identity and intention to enter the teaching profession. Teacher professional identity concerns the roles, practices, relationships, and professional meanings specifically associated with teaching, whereas vocational identity encompasses broader processes of occupational exploration, commitment, and reconsideration.</w:t>
      </w:r>
    </w:p>
    <w:p w14:paraId="60314715">
      <w:pPr>
        <w:spacing w:after="0"/>
        <w:jc w:val="both"/>
        <w:rPr>
          <w:rFonts w:hint="eastAsia" w:ascii="Cambria" w:hAnsi="Cambria"/>
          <w:sz w:val="22"/>
          <w:lang w:val="en-GB"/>
        </w:rPr>
      </w:pPr>
      <w:r>
        <w:rPr>
          <w:rFonts w:hint="eastAsia" w:ascii="Cambria" w:hAnsi="Cambria"/>
          <w:sz w:val="22"/>
          <w:lang w:val="en-GB"/>
        </w:rPr>
        <w:t>Emotional intelligence may be relevant to vocational identity because constructing a career direction is an emotional as well as a cognitive task. Emotional intelligence broadly concerns attending to, understanding, regulating, and using emotion-related information in thought and action (Salovey &amp; Mayer, 1990; Schutte et al., 1998). A meta-analysis linked emotional intelligence with career adaptability, career decision-making self-efficacy, career commitment, career satisfaction, and fewer decision-making difficulties (Pirsoul et al., 2023). Research on trainee teachers likewise identifies emotional intelligence as potentially relevant, although still underdeveloped, in teacher preparation (Turner &amp; Stough, 2020).</w:t>
      </w:r>
    </w:p>
    <w:p w14:paraId="3FEFAA34">
      <w:pPr>
        <w:spacing w:after="0"/>
        <w:jc w:val="both"/>
        <w:rPr>
          <w:rFonts w:hint="eastAsia" w:ascii="Cambria" w:hAnsi="Cambria"/>
          <w:sz w:val="22"/>
          <w:lang w:val="en-GB"/>
        </w:rPr>
      </w:pPr>
      <w:r>
        <w:rPr>
          <w:rFonts w:hint="eastAsia" w:ascii="Cambria" w:hAnsi="Cambria"/>
          <w:sz w:val="22"/>
          <w:lang w:val="en-GB"/>
        </w:rPr>
        <w:t>The unresolved question is therefore not simply whether emotional intelligence and vocational identity are associated, but how emotional functioning may become connected to identity development. Career Construction Theory conceptualizes career development as adaptive meaning-making in response to developmental tasks and occupational transitions (Savickas, 2005, 2013,2021). The Student Career Construction Inventory differentiates four adapting responses: crystallizing, exploring, deciding, and preparing (Savickas et al., 2018). Crystallizing, which concerns clarifying vocational interests, abilities, values, and goals, offers a theoretically direct bridge between a broad emotional resource and a coherent career direction.</w:t>
      </w:r>
    </w:p>
    <w:p w14:paraId="68E15E61">
      <w:pPr>
        <w:spacing w:after="0"/>
        <w:jc w:val="both"/>
        <w:rPr>
          <w:rFonts w:hint="eastAsia" w:ascii="Cambria" w:hAnsi="Cambria"/>
          <w:sz w:val="22"/>
          <w:lang w:val="en-GB"/>
        </w:rPr>
      </w:pPr>
      <w:r>
        <w:rPr>
          <w:rFonts w:hint="eastAsia" w:ascii="Cambria" w:hAnsi="Cambria"/>
          <w:sz w:val="22"/>
          <w:lang w:val="en-GB"/>
        </w:rPr>
        <w:t>Prior evidence supports a broader connection among trait emotional intelligence, career construction, and vocational identity. Merino-Tejedor et al. (2024) found that career construction mediated the relationship between trait emotional intelligence and vocational identity among university students. However, treating career construction at an aggregated level does not isolate whether self-clarification, exploration, decision formation, or preparation carries the association. Evidence is also limited among trainee teachers in China, whose career development is embedded in a distinctive professional preparation and labour-market context.</w:t>
      </w:r>
    </w:p>
    <w:p w14:paraId="33577383">
      <w:pPr>
        <w:spacing w:after="0"/>
        <w:jc w:val="both"/>
        <w:rPr>
          <w:rFonts w:hint="eastAsia" w:ascii="Cambria" w:hAnsi="Cambria"/>
          <w:sz w:val="22"/>
          <w:lang w:val="en-GB"/>
        </w:rPr>
      </w:pPr>
      <w:r>
        <w:rPr>
          <w:rFonts w:hint="eastAsia" w:ascii="Cambria" w:hAnsi="Cambria"/>
          <w:sz w:val="22"/>
          <w:lang w:val="en-GB"/>
        </w:rPr>
        <w:t>To address this gap, the present study examines the specific indirect association between emotional intelligence and vocational identity through crystallizing among 678 preservice teachers from Jilin Province. The contribution is deliberately focused on whether crystallizing constitutes a theoretically meaningful specific indirect pathway within the broader career construction process.</w:t>
      </w:r>
    </w:p>
    <w:p w14:paraId="4EAF2D56">
      <w:pPr>
        <w:spacing w:after="0"/>
        <w:rPr>
          <w:rFonts w:ascii="Cambria" w:hAnsi="Cambria"/>
          <w:sz w:val="22"/>
          <w:lang w:val="en-GB"/>
        </w:rPr>
      </w:pPr>
    </w:p>
    <w:p w14:paraId="6FD686CC">
      <w:pPr>
        <w:spacing w:after="0"/>
        <w:rPr>
          <w:rFonts w:ascii="Cambria" w:hAnsi="Cambria"/>
          <w:sz w:val="22"/>
          <w:lang w:val="en-GB"/>
        </w:rPr>
      </w:pPr>
    </w:p>
    <w:p w14:paraId="4E4D23AC">
      <w:pPr>
        <w:pStyle w:val="2"/>
        <w:numPr>
          <w:ilvl w:val="0"/>
          <w:numId w:val="1"/>
        </w:numPr>
        <w:spacing w:before="0" w:after="0"/>
        <w:rPr>
          <w:rFonts w:ascii="Cambria" w:hAnsi="Cambria"/>
          <w:szCs w:val="22"/>
        </w:rPr>
      </w:pPr>
      <w:r>
        <w:rPr>
          <w:rFonts w:ascii="Cambria" w:hAnsi="Cambria"/>
          <w:szCs w:val="22"/>
        </w:rPr>
        <w:t xml:space="preserve">LITERATURE REVIEW </w:t>
      </w:r>
    </w:p>
    <w:p w14:paraId="5F888E00">
      <w:pPr>
        <w:spacing w:after="0"/>
        <w:rPr>
          <w:rFonts w:ascii="Cambria" w:hAnsi="Cambria"/>
          <w:sz w:val="22"/>
          <w:lang w:val="en-GB"/>
        </w:rPr>
      </w:pPr>
    </w:p>
    <w:p w14:paraId="76E6625C">
      <w:pPr>
        <w:pStyle w:val="3"/>
        <w:spacing w:before="0"/>
        <w:ind w:left="540" w:hanging="540"/>
        <w:rPr>
          <w:rFonts w:ascii="Cambria" w:hAnsi="Cambria" w:eastAsia="Times New Roman" w:cs="Times New Roman"/>
          <w:b w:val="0"/>
          <w:color w:val="auto"/>
          <w:sz w:val="22"/>
          <w:szCs w:val="22"/>
        </w:rPr>
      </w:pPr>
      <w:r>
        <w:rPr>
          <w:rFonts w:hint="eastAsia" w:ascii="Cambria" w:hAnsi="Cambria" w:eastAsia="Times New Roman" w:cs="Times New Roman"/>
          <w:color w:val="auto"/>
          <w:sz w:val="22"/>
          <w:szCs w:val="22"/>
        </w:rPr>
        <w:t>2.1</w:t>
      </w:r>
      <w:r>
        <w:rPr>
          <w:rFonts w:ascii="Cambria" w:hAnsi="Cambria" w:eastAsia="Times New Roman" w:cs="Times New Roman"/>
          <w:color w:val="auto"/>
          <w:sz w:val="22"/>
          <w:szCs w:val="22"/>
        </w:rPr>
        <w:tab/>
      </w:r>
      <w:r>
        <w:rPr>
          <w:rFonts w:hint="eastAsia" w:ascii="Cambria" w:hAnsi="Cambria" w:eastAsia="Times New Roman" w:cs="Times New Roman"/>
          <w:color w:val="auto"/>
          <w:sz w:val="22"/>
          <w:szCs w:val="22"/>
        </w:rPr>
        <w:t>Emotional intelligence and crystallizing</w:t>
      </w:r>
    </w:p>
    <w:p w14:paraId="560D5689">
      <w:pPr>
        <w:spacing w:after="0"/>
        <w:rPr>
          <w:rFonts w:ascii="Cambria" w:hAnsi="Cambria"/>
          <w:sz w:val="22"/>
          <w:lang w:val="en-GB"/>
        </w:rPr>
      </w:pPr>
    </w:p>
    <w:p w14:paraId="675A0703">
      <w:pPr>
        <w:spacing w:after="0"/>
        <w:jc w:val="both"/>
        <w:rPr>
          <w:rFonts w:hint="eastAsia" w:ascii="Cambria" w:hAnsi="Cambria"/>
          <w:sz w:val="22"/>
          <w:lang w:val="en-GB"/>
        </w:rPr>
      </w:pPr>
      <w:r>
        <w:rPr>
          <w:rFonts w:hint="eastAsia" w:ascii="Cambria" w:hAnsi="Cambria"/>
          <w:sz w:val="22"/>
          <w:lang w:val="en-GB"/>
        </w:rPr>
        <w:t>The notion of crystallizing a vocational self-concept originates in Super</w:t>
      </w:r>
      <w:r>
        <w:rPr>
          <w:rFonts w:hint="eastAsia" w:ascii="Cambria" w:hAnsi="Cambria"/>
          <w:sz w:val="22"/>
          <w:lang w:val="en-GB" w:eastAsia="zh-CN"/>
        </w:rPr>
        <w:t>'</w:t>
      </w:r>
      <w:r>
        <w:rPr>
          <w:rFonts w:hint="eastAsia" w:ascii="Cambria" w:hAnsi="Cambria"/>
          <w:sz w:val="22"/>
          <w:lang w:val="en-GB"/>
        </w:rPr>
        <w:t xml:space="preserve">s developmental account of vocational preference crystallization and self-concept implementation. Savickas (1994) explicitly reformulated it as the task of </w:t>
      </w:r>
      <w:r>
        <w:rPr>
          <w:rFonts w:hint="eastAsia" w:ascii="Cambria" w:hAnsi="Cambria"/>
          <w:sz w:val="22"/>
          <w:lang w:val="en-GB" w:eastAsia="zh-CN"/>
        </w:rPr>
        <w:t>"</w:t>
      </w:r>
      <w:r>
        <w:rPr>
          <w:rFonts w:hint="eastAsia" w:ascii="Cambria" w:hAnsi="Cambria"/>
          <w:sz w:val="22"/>
          <w:lang w:val="en-GB"/>
        </w:rPr>
        <w:t>crystallizing a vocational self-concept,</w:t>
      </w:r>
      <w:r>
        <w:rPr>
          <w:rFonts w:hint="eastAsia" w:ascii="Cambria" w:hAnsi="Cambria"/>
          <w:sz w:val="22"/>
          <w:lang w:val="en-GB" w:eastAsia="zh-CN"/>
        </w:rPr>
        <w:t>"</w:t>
      </w:r>
      <w:r>
        <w:rPr>
          <w:rFonts w:hint="eastAsia" w:ascii="Cambria" w:hAnsi="Cambria"/>
          <w:sz w:val="22"/>
          <w:lang w:val="en-GB"/>
        </w:rPr>
        <w:t xml:space="preserve"> subsequently elaborating it as the first developmental task of the exploration stage within career construction theory (Savickas, 2002). Savickas et al. (2018) later operationalized this task as a dimension of adapting responses in the SCCI.</w:t>
      </w:r>
      <w:r>
        <w:rPr>
          <w:rFonts w:hint="eastAsia" w:ascii="Cambria" w:hAnsi="Cambria"/>
          <w:sz w:val="22"/>
          <w:lang w:val="en-US" w:eastAsia="zh-CN"/>
        </w:rPr>
        <w:t xml:space="preserve"> </w:t>
      </w:r>
      <w:r>
        <w:rPr>
          <w:rFonts w:hint="eastAsia" w:ascii="Cambria" w:hAnsi="Cambria"/>
          <w:sz w:val="22"/>
          <w:lang w:val="en-GB"/>
        </w:rPr>
        <w:t>In Career Construction Theory, this clarification is an adapting response through which individuals translate broad personal resources into career-relevant action and meaning. Emotional intelligence is treated here as a broad personal resource that may help students attend to and interpret affective information arising during that process, rather than as a synonym for career adaptability itself.</w:t>
      </w:r>
    </w:p>
    <w:p w14:paraId="581B8802">
      <w:pPr>
        <w:spacing w:after="0"/>
        <w:jc w:val="both"/>
        <w:rPr>
          <w:rFonts w:hint="eastAsia" w:ascii="Cambria" w:hAnsi="Cambria"/>
          <w:sz w:val="22"/>
          <w:lang w:val="en-GB"/>
        </w:rPr>
      </w:pPr>
      <w:r>
        <w:rPr>
          <w:rFonts w:hint="eastAsia" w:ascii="Cambria" w:hAnsi="Cambria"/>
          <w:sz w:val="22"/>
          <w:lang w:val="en-GB"/>
        </w:rPr>
        <w:t>Vocational self-clarification can evoke uncertainty, anticipated success or failure, and conflict between personal preferences and external expectations. Students who can recognize and regulate emotional reactions may be better able to remain engaged in self-assessment, tolerate ambiguity, and integrate emotional signals from educational and career experiences into a coherent vocational self-concept. This mechanism is consistent with broader evidence connecting emotional intelligence with career adaptability and career decision processes (Pirsoul et al., 2023).</w:t>
      </w:r>
    </w:p>
    <w:p w14:paraId="5116D89C"/>
    <w:p w14:paraId="67F97E3F">
      <w:pPr>
        <w:pStyle w:val="3"/>
        <w:spacing w:before="0"/>
        <w:ind w:left="540" w:hanging="540"/>
        <w:rPr>
          <w:rFonts w:ascii="Cambria" w:hAnsi="Cambria" w:eastAsia="Times New Roman" w:cs="Times New Roman"/>
          <w:b w:val="0"/>
          <w:color w:val="auto"/>
          <w:sz w:val="22"/>
          <w:szCs w:val="22"/>
        </w:rPr>
      </w:pPr>
      <w:r>
        <w:rPr>
          <w:rFonts w:hint="eastAsia" w:ascii="Cambria" w:hAnsi="Cambria" w:eastAsia="Times New Roman" w:cs="Times New Roman"/>
          <w:color w:val="auto"/>
          <w:sz w:val="22"/>
          <w:szCs w:val="22"/>
        </w:rPr>
        <w:t>2.</w:t>
      </w:r>
      <w:r>
        <w:rPr>
          <w:rFonts w:hint="eastAsia" w:ascii="Cambria" w:hAnsi="Cambria" w:eastAsia="宋体" w:cs="Times New Roman"/>
          <w:color w:val="auto"/>
          <w:sz w:val="22"/>
          <w:szCs w:val="22"/>
          <w:lang w:val="en-US" w:eastAsia="zh-CN"/>
        </w:rPr>
        <w:t>2</w:t>
      </w:r>
      <w:r>
        <w:rPr>
          <w:rFonts w:ascii="Cambria" w:hAnsi="Cambria" w:eastAsia="Times New Roman" w:cs="Times New Roman"/>
          <w:color w:val="auto"/>
          <w:sz w:val="22"/>
          <w:szCs w:val="22"/>
        </w:rPr>
        <w:tab/>
      </w:r>
      <w:r>
        <w:rPr>
          <w:rFonts w:hint="eastAsia" w:ascii="Cambria" w:hAnsi="Cambria" w:eastAsia="Times New Roman" w:cs="Times New Roman"/>
          <w:color w:val="auto"/>
          <w:sz w:val="22"/>
          <w:szCs w:val="22"/>
        </w:rPr>
        <w:t>Crystallizing and vocational identity</w:t>
      </w:r>
    </w:p>
    <w:p w14:paraId="4A8091C6">
      <w:pPr>
        <w:spacing w:after="0"/>
        <w:rPr>
          <w:rFonts w:ascii="Cambria" w:hAnsi="Cambria"/>
          <w:sz w:val="22"/>
          <w:lang w:val="en-GB"/>
        </w:rPr>
      </w:pPr>
    </w:p>
    <w:p w14:paraId="16F9CCD3">
      <w:pPr>
        <w:spacing w:after="0"/>
        <w:jc w:val="both"/>
        <w:rPr>
          <w:rFonts w:hint="eastAsia" w:ascii="Cambria" w:hAnsi="Cambria"/>
          <w:sz w:val="22"/>
          <w:lang w:val="en-GB"/>
        </w:rPr>
      </w:pPr>
      <w:r>
        <w:rPr>
          <w:rFonts w:hint="eastAsia" w:ascii="Cambria" w:hAnsi="Cambria"/>
          <w:sz w:val="22"/>
          <w:lang w:val="en-GB"/>
        </w:rPr>
        <w:t>Crystallizing is an adapting response through which individuals clarify their vocational self-concepts and develop tentative career directions (Savickas et al., 2018). It is conceptually distinct from vocational identity, which the present study assesses through the exploration, commitment, commitment flexibility, and career self-doubt processes represented in the Vocational Identity Status Assessment (VISA; Porfeli et al., 2011). By clarifying vocational interests, abilities, values, and goals, crystallizing may provide reference points for exploring possible career directions and forming or reconsidering career commitments. Consistent with this reasoning, longitudinal VISA-based research has identified reciprocal associations between career goals and vocational identity processes, particularly in-depth exploration and identification with commitment (Lee et al., 2022). Research among Chinese university students has also shown that SCCI-assessed career construction responses are associated with vocational identity and other career-development indicators (Jiang et al., 2022)). Collectively, these findings support a theoretically plausible association between crystallizing and vocational identity, but they do not establish crystallizing as a necessary, sufficient, or unidirectional cause of vocational identity development.</w:t>
      </w:r>
    </w:p>
    <w:p w14:paraId="0DC2BB24">
      <w:pPr>
        <w:spacing w:after="0"/>
        <w:jc w:val="both"/>
        <w:rPr>
          <w:rFonts w:hint="eastAsia" w:ascii="Cambria" w:hAnsi="Cambria"/>
          <w:sz w:val="22"/>
          <w:lang w:val="en-GB"/>
        </w:rPr>
      </w:pPr>
      <w:r>
        <w:rPr>
          <w:rFonts w:hint="eastAsia" w:ascii="Cambria" w:hAnsi="Cambria"/>
          <w:sz w:val="22"/>
          <w:lang w:val="en-GB"/>
        </w:rPr>
        <w:t>Within the career construction model of adaptation, crystallizing represents only one of four related adapting responses, alongside exploring, deciding, and preparing. Its association with vocational identity should therefore be understood as its unique relationship after the other career construction responses are considered, rather than as the sole basis of identity development. Although the participants in this study were enrolled in teacher-education programs, the VISA is a domain-general measure and does not specify teaching as the object of exploration or commitment. Accordingly, the findings concern general vocational identity among teacher-education students and cannot be interpreted as evidence of teacher professional identity, commitment to teaching, or intention to enter the teaching profession. Based on the preceding theoretical and empirical evidence, it was hypothesized that crystallizing would be positively associated with general vocational identity among teacher-education students. .</w:t>
      </w:r>
    </w:p>
    <w:p w14:paraId="020383BB"/>
    <w:p w14:paraId="74D5A043">
      <w:pPr>
        <w:pStyle w:val="3"/>
        <w:spacing w:before="0"/>
        <w:ind w:left="540" w:hanging="540"/>
        <w:rPr>
          <w:rFonts w:ascii="Cambria" w:hAnsi="Cambria" w:eastAsia="Times New Roman" w:cs="Times New Roman"/>
          <w:b w:val="0"/>
          <w:color w:val="auto"/>
          <w:sz w:val="22"/>
          <w:szCs w:val="22"/>
        </w:rPr>
      </w:pPr>
      <w:r>
        <w:rPr>
          <w:rFonts w:hint="eastAsia" w:ascii="Cambria" w:hAnsi="Cambria" w:eastAsia="Times New Roman" w:cs="Times New Roman"/>
          <w:color w:val="auto"/>
          <w:sz w:val="22"/>
          <w:szCs w:val="22"/>
        </w:rPr>
        <w:t>2.</w:t>
      </w:r>
      <w:r>
        <w:rPr>
          <w:rFonts w:hint="eastAsia" w:ascii="Cambria" w:hAnsi="Cambria" w:eastAsia="宋体" w:cs="Times New Roman"/>
          <w:color w:val="auto"/>
          <w:sz w:val="22"/>
          <w:szCs w:val="22"/>
          <w:lang w:val="en-US" w:eastAsia="zh-CN"/>
        </w:rPr>
        <w:t>3</w:t>
      </w:r>
      <w:r>
        <w:rPr>
          <w:rFonts w:ascii="Cambria" w:hAnsi="Cambria" w:eastAsia="Times New Roman" w:cs="Times New Roman"/>
          <w:color w:val="auto"/>
          <w:sz w:val="22"/>
          <w:szCs w:val="22"/>
        </w:rPr>
        <w:tab/>
      </w:r>
      <w:r>
        <w:rPr>
          <w:rFonts w:hint="eastAsia" w:ascii="Cambria" w:hAnsi="Cambria" w:eastAsia="Times New Roman" w:cs="Times New Roman"/>
          <w:color w:val="auto"/>
          <w:sz w:val="22"/>
          <w:szCs w:val="22"/>
        </w:rPr>
        <w:t>The specific indirect pathway</w:t>
      </w:r>
    </w:p>
    <w:p w14:paraId="6E9DD752">
      <w:pPr>
        <w:spacing w:after="0"/>
        <w:rPr>
          <w:rFonts w:ascii="Cambria" w:hAnsi="Cambria"/>
          <w:sz w:val="22"/>
          <w:lang w:val="en-GB"/>
        </w:rPr>
      </w:pPr>
    </w:p>
    <w:p w14:paraId="662E7897">
      <w:pPr>
        <w:spacing w:after="0"/>
        <w:jc w:val="both"/>
        <w:rPr>
          <w:rFonts w:hint="eastAsia" w:ascii="Cambria" w:hAnsi="Cambria"/>
          <w:sz w:val="22"/>
          <w:lang w:val="en-GB"/>
        </w:rPr>
      </w:pPr>
      <w:r>
        <w:rPr>
          <w:rFonts w:hint="eastAsia" w:ascii="Cambria" w:hAnsi="Cambria"/>
          <w:sz w:val="22"/>
          <w:lang w:val="en-GB"/>
        </w:rPr>
        <w:t>The proposed mechanism follows a resource–response–identity sequence. Emotional intelligence may support vocational self-clarification, while crystallizing may provide reference points for vocational exploration and commitment. Recent research has linked career goals and career construction responses with vocational identity processes (Lee et al., 2022; Merino-Tejedor et al., 2025) and found that career construction partially mediated the association between trait emotional intelligence and vocational identity (Merino-Tejedor et al., 2024). Crystallizing may therefore represent a specific indirect pathway between emotional intelligence and general vocational identity.</w:t>
      </w:r>
    </w:p>
    <w:p w14:paraId="7814351A">
      <w:pPr>
        <w:spacing w:after="0"/>
        <w:jc w:val="both"/>
        <w:rPr>
          <w:rFonts w:hint="eastAsia" w:ascii="Cambria" w:hAnsi="Cambria"/>
          <w:sz w:val="22"/>
          <w:lang w:val="en-GB"/>
        </w:rPr>
      </w:pPr>
      <w:r>
        <w:rPr>
          <w:rFonts w:hint="eastAsia" w:ascii="Cambria" w:hAnsi="Cambria"/>
          <w:sz w:val="22"/>
          <w:lang w:val="en-GB"/>
        </w:rPr>
        <w:t>Accordingly, crystallizing was hypothesized to statistically account for part of the association the association between emotional intelligence and general vocational identity.</w:t>
      </w:r>
    </w:p>
    <w:p w14:paraId="1F64130E"/>
    <w:p w14:paraId="6A2D06AE">
      <w:pPr>
        <w:pStyle w:val="3"/>
        <w:spacing w:before="0"/>
        <w:ind w:left="540" w:hanging="540"/>
        <w:rPr>
          <w:rFonts w:ascii="Cambria" w:hAnsi="Cambria" w:eastAsia="Times New Roman" w:cs="Times New Roman"/>
          <w:b w:val="0"/>
          <w:color w:val="auto"/>
          <w:sz w:val="22"/>
          <w:szCs w:val="22"/>
        </w:rPr>
      </w:pPr>
      <w:r>
        <w:rPr>
          <w:rFonts w:hint="eastAsia" w:ascii="Cambria" w:hAnsi="Cambria" w:eastAsia="Times New Roman" w:cs="Times New Roman"/>
          <w:color w:val="auto"/>
          <w:sz w:val="22"/>
          <w:szCs w:val="22"/>
        </w:rPr>
        <w:t>2.</w:t>
      </w:r>
      <w:r>
        <w:rPr>
          <w:rFonts w:hint="eastAsia" w:ascii="Cambria" w:hAnsi="Cambria" w:eastAsia="宋体" w:cs="Times New Roman"/>
          <w:color w:val="auto"/>
          <w:sz w:val="22"/>
          <w:szCs w:val="22"/>
          <w:lang w:val="en-US" w:eastAsia="zh-CN"/>
        </w:rPr>
        <w:t>4</w:t>
      </w:r>
      <w:r>
        <w:rPr>
          <w:rFonts w:ascii="Cambria" w:hAnsi="Cambria" w:eastAsia="Times New Roman" w:cs="Times New Roman"/>
          <w:color w:val="auto"/>
          <w:sz w:val="22"/>
          <w:szCs w:val="22"/>
        </w:rPr>
        <w:tab/>
      </w:r>
      <w:r>
        <w:rPr>
          <w:rFonts w:hint="eastAsia" w:ascii="Cambria" w:hAnsi="Cambria" w:eastAsia="Times New Roman" w:cs="Times New Roman"/>
          <w:color w:val="auto"/>
          <w:sz w:val="22"/>
          <w:szCs w:val="22"/>
        </w:rPr>
        <w:t>Hypotheses</w:t>
      </w:r>
    </w:p>
    <w:p w14:paraId="4F54E4CF">
      <w:pPr>
        <w:spacing w:after="0"/>
        <w:rPr>
          <w:rFonts w:ascii="Cambria" w:hAnsi="Cambria"/>
          <w:sz w:val="22"/>
          <w:lang w:val="en-GB"/>
        </w:rPr>
      </w:pPr>
    </w:p>
    <w:p w14:paraId="00D6E763">
      <w:pPr>
        <w:spacing w:after="0"/>
        <w:jc w:val="both"/>
        <w:rPr>
          <w:rFonts w:hint="eastAsia" w:ascii="Cambria" w:hAnsi="Cambria"/>
          <w:sz w:val="22"/>
          <w:lang w:val="en-GB"/>
        </w:rPr>
      </w:pPr>
      <w:r>
        <w:rPr>
          <w:rFonts w:hint="eastAsia" w:ascii="Cambria" w:hAnsi="Cambria"/>
          <w:sz w:val="22"/>
          <w:lang w:val="en-GB"/>
        </w:rPr>
        <w:t>The theoretical framework yields four hypotheses that map directly onto the structural paths and the specific indirect effect tested in the analysis.</w:t>
      </w:r>
    </w:p>
    <w:p w14:paraId="4C09CFEC">
      <w:pPr>
        <w:spacing w:after="0"/>
        <w:jc w:val="both"/>
        <w:rPr>
          <w:rFonts w:hint="eastAsia" w:ascii="Cambria" w:hAnsi="Cambria"/>
          <w:sz w:val="22"/>
          <w:lang w:val="en-GB"/>
        </w:rPr>
      </w:pPr>
      <w:r>
        <w:rPr>
          <w:rFonts w:hint="eastAsia" w:ascii="Cambria" w:hAnsi="Cambria"/>
          <w:sz w:val="22"/>
          <w:lang w:val="en-GB"/>
        </w:rPr>
        <w:t xml:space="preserve">Hypothesis 1. Emotional intelligence is positively associated with crystallizing among </w:t>
      </w:r>
      <w:r>
        <w:rPr>
          <w:rFonts w:hint="eastAsia" w:ascii="Cambria" w:hAnsi="Cambria"/>
          <w:sz w:val="22"/>
          <w:lang w:val="en-GB" w:eastAsia="zh-CN"/>
        </w:rPr>
        <w:t>trainee teachers</w:t>
      </w:r>
      <w:r>
        <w:rPr>
          <w:rFonts w:hint="eastAsia" w:ascii="Cambria" w:hAnsi="Cambria"/>
          <w:sz w:val="22"/>
          <w:lang w:val="en-GB"/>
        </w:rPr>
        <w:t>.</w:t>
      </w:r>
    </w:p>
    <w:p w14:paraId="7F8D2EB8">
      <w:pPr>
        <w:spacing w:after="0"/>
        <w:jc w:val="both"/>
        <w:rPr>
          <w:rFonts w:hint="eastAsia" w:ascii="Cambria" w:hAnsi="Cambria"/>
          <w:sz w:val="22"/>
          <w:lang w:val="en-GB"/>
        </w:rPr>
      </w:pPr>
      <w:r>
        <w:rPr>
          <w:rFonts w:hint="eastAsia" w:ascii="Cambria" w:hAnsi="Cambria"/>
          <w:sz w:val="22"/>
          <w:lang w:val="en-GB"/>
        </w:rPr>
        <w:t xml:space="preserve">Hypothesis 2. Crystallizing is positively associated with </w:t>
      </w:r>
      <w:r>
        <w:rPr>
          <w:rFonts w:hint="eastAsia" w:ascii="Cambria" w:hAnsi="Cambria"/>
          <w:sz w:val="22"/>
          <w:lang w:val="en-GB" w:eastAsia="zh-CN"/>
        </w:rPr>
        <w:t>vocational identity among trainee teachers</w:t>
      </w:r>
      <w:r>
        <w:rPr>
          <w:rFonts w:hint="eastAsia" w:ascii="Cambria" w:hAnsi="Cambria"/>
          <w:sz w:val="22"/>
          <w:lang w:val="en-GB"/>
        </w:rPr>
        <w:t xml:space="preserve"> after the other predictors in the parallel model are considered.</w:t>
      </w:r>
    </w:p>
    <w:p w14:paraId="3361D135">
      <w:pPr>
        <w:spacing w:after="0"/>
        <w:jc w:val="both"/>
        <w:rPr>
          <w:rFonts w:hint="eastAsia" w:ascii="Cambria" w:hAnsi="Cambria"/>
          <w:sz w:val="22"/>
          <w:lang w:val="en-GB"/>
        </w:rPr>
      </w:pPr>
      <w:r>
        <w:rPr>
          <w:rFonts w:hint="eastAsia" w:ascii="Cambria" w:hAnsi="Cambria"/>
          <w:sz w:val="22"/>
          <w:lang w:val="en-GB"/>
        </w:rPr>
        <w:t xml:space="preserve">Hypothesis 3. Emotional intelligence is positively associated with </w:t>
      </w:r>
      <w:r>
        <w:rPr>
          <w:rFonts w:hint="eastAsia" w:ascii="Cambria" w:hAnsi="Cambria"/>
          <w:sz w:val="22"/>
          <w:lang w:val="en-GB" w:eastAsia="zh-CN"/>
        </w:rPr>
        <w:t>vocational identity among trainee teachers</w:t>
      </w:r>
      <w:r>
        <w:rPr>
          <w:rFonts w:hint="eastAsia" w:ascii="Cambria" w:hAnsi="Cambria"/>
          <w:sz w:val="22"/>
          <w:lang w:val="en-GB"/>
        </w:rPr>
        <w:t xml:space="preserve"> after the career construction responses are considered.</w:t>
      </w:r>
    </w:p>
    <w:p w14:paraId="2C54705E">
      <w:pPr>
        <w:spacing w:after="0"/>
        <w:jc w:val="both"/>
        <w:rPr>
          <w:rFonts w:hint="eastAsia" w:ascii="Cambria" w:hAnsi="Cambria"/>
          <w:sz w:val="22"/>
          <w:lang w:val="en-GB"/>
        </w:rPr>
      </w:pPr>
      <w:r>
        <w:rPr>
          <w:rFonts w:hint="eastAsia" w:ascii="Cambria" w:hAnsi="Cambria"/>
          <w:sz w:val="22"/>
          <w:lang w:val="en-GB"/>
        </w:rPr>
        <w:t xml:space="preserve">Hypothesis 4. The specific indirect association between emotional intelligence and </w:t>
      </w:r>
      <w:r>
        <w:rPr>
          <w:rFonts w:hint="eastAsia" w:ascii="Cambria" w:hAnsi="Cambria"/>
          <w:sz w:val="22"/>
          <w:lang w:val="en-GB" w:eastAsia="zh-CN"/>
        </w:rPr>
        <w:t>vocational identity among trainee teachers</w:t>
      </w:r>
      <w:r>
        <w:rPr>
          <w:rFonts w:hint="eastAsia" w:ascii="Cambria" w:hAnsi="Cambria"/>
          <w:sz w:val="22"/>
          <w:lang w:val="en-GB"/>
        </w:rPr>
        <w:t xml:space="preserve"> through crystallizing is positive and statistically significant.</w:t>
      </w:r>
    </w:p>
    <w:p w14:paraId="6C5D4146">
      <w:pPr>
        <w:spacing w:after="0"/>
        <w:rPr>
          <w:rFonts w:ascii="Cambria" w:hAnsi="Cambria"/>
          <w:sz w:val="22"/>
          <w:lang w:val="en-GB"/>
        </w:rPr>
      </w:pPr>
    </w:p>
    <w:p w14:paraId="755DF562">
      <w:pPr>
        <w:spacing w:after="0"/>
        <w:rPr>
          <w:rFonts w:ascii="Cambria" w:hAnsi="Cambria"/>
          <w:sz w:val="22"/>
          <w:lang w:val="en-GB"/>
        </w:rPr>
      </w:pPr>
    </w:p>
    <w:p w14:paraId="11972400">
      <w:pPr>
        <w:pStyle w:val="2"/>
        <w:numPr>
          <w:ilvl w:val="0"/>
          <w:numId w:val="1"/>
        </w:numPr>
        <w:spacing w:before="0" w:after="0"/>
        <w:rPr>
          <w:rFonts w:hint="eastAsia" w:ascii="Cambria" w:hAnsi="Cambria"/>
          <w:szCs w:val="22"/>
          <w:lang w:val="en-GB"/>
        </w:rPr>
      </w:pPr>
      <w:r>
        <w:rPr>
          <w:rFonts w:ascii="Cambria" w:hAnsi="Cambria"/>
          <w:szCs w:val="22"/>
        </w:rPr>
        <w:t xml:space="preserve">MATERIAL AND METHODS </w:t>
      </w:r>
    </w:p>
    <w:p w14:paraId="1E301FC1">
      <w:pPr>
        <w:spacing w:after="0"/>
        <w:rPr>
          <w:rFonts w:ascii="Cambria" w:hAnsi="Cambria"/>
          <w:sz w:val="22"/>
          <w:lang w:val="en-GB"/>
        </w:rPr>
      </w:pPr>
    </w:p>
    <w:p w14:paraId="630264D5">
      <w:pPr>
        <w:pStyle w:val="3"/>
        <w:numPr>
          <w:ilvl w:val="1"/>
          <w:numId w:val="1"/>
        </w:numPr>
        <w:spacing w:before="0"/>
        <w:ind w:left="540" w:leftChars="0" w:hanging="540" w:firstLineChars="0"/>
        <w:rPr>
          <w:rFonts w:hint="eastAsia" w:ascii="Cambria" w:hAnsi="Cambria" w:eastAsia="宋体" w:cs="Times New Roman"/>
          <w:color w:val="auto"/>
          <w:sz w:val="22"/>
          <w:szCs w:val="22"/>
          <w:lang w:val="en-US" w:eastAsia="zh-CN"/>
        </w:rPr>
      </w:pPr>
      <w:r>
        <w:rPr>
          <w:rFonts w:hint="eastAsia" w:ascii="Cambria" w:hAnsi="Cambria" w:eastAsia="宋体" w:cs="Times New Roman"/>
          <w:color w:val="auto"/>
          <w:sz w:val="22"/>
          <w:szCs w:val="22"/>
          <w:lang w:val="en-US" w:eastAsia="zh-CN"/>
        </w:rPr>
        <w:t xml:space="preserve"> Design and participants</w:t>
      </w:r>
    </w:p>
    <w:p w14:paraId="336CE5EF">
      <w:pPr>
        <w:numPr>
          <w:ilvl w:val="0"/>
          <w:numId w:val="0"/>
        </w:numPr>
        <w:ind w:leftChars="0"/>
        <w:rPr>
          <w:rFonts w:hint="eastAsia"/>
          <w:lang w:val="en-US" w:eastAsia="zh-CN"/>
        </w:rPr>
      </w:pPr>
    </w:p>
    <w:p w14:paraId="7D3FBD43">
      <w:pPr>
        <w:spacing w:after="0"/>
        <w:jc w:val="both"/>
        <w:rPr>
          <w:rFonts w:hint="eastAsia" w:ascii="Cambria" w:hAnsi="Cambria"/>
          <w:sz w:val="22"/>
          <w:lang w:val="en-GB"/>
        </w:rPr>
      </w:pPr>
      <w:r>
        <w:rPr>
          <w:rFonts w:hint="eastAsia" w:ascii="Cambria" w:hAnsi="Cambria"/>
          <w:sz w:val="22"/>
          <w:lang w:val="en-GB"/>
        </w:rPr>
        <w:t>The study employed a quantitative, theory-driven, cross-sectional survey design. Data were collected from undergraduate students enrolled in teacher education programmes at six higher education institutions in Jilin Province, China. As an observational study, it involved neither random assignment nor any training or experimental intervention. Eligible respondents from the six institutions were pooled and analysed as a single sample of teacher education students.</w:t>
      </w:r>
    </w:p>
    <w:p w14:paraId="508B85AC">
      <w:pPr>
        <w:spacing w:after="0"/>
        <w:jc w:val="both"/>
        <w:rPr>
          <w:rFonts w:hint="eastAsia" w:ascii="Cambria" w:hAnsi="Cambria"/>
          <w:sz w:val="22"/>
          <w:lang w:val="en-GB"/>
        </w:rPr>
      </w:pPr>
      <w:r>
        <w:rPr>
          <w:rFonts w:hint="eastAsia" w:ascii="Cambria" w:hAnsi="Cambria"/>
          <w:sz w:val="22"/>
          <w:lang w:val="en-GB"/>
        </w:rPr>
        <w:t>A two-stage non-probability sampling approach was used. First, the six institutions were selected purposively based on institutional accessibility and willingness to cooperate. Eligible students were then recruited through existing classroom and university communication channels. Because participation was voluntary, the student-level sample was treated as a voluntary-response sample rather than a probability cluster sample. Participants were eligible if they were at least 18 years old, enrolled in the first, second, or third year of a teacher education programme, had not completed a full teaching practicum, and had not entered full-time teaching employment.</w:t>
      </w:r>
    </w:p>
    <w:p w14:paraId="638BCFF6">
      <w:pPr>
        <w:spacing w:after="0"/>
        <w:jc w:val="both"/>
        <w:rPr>
          <w:rFonts w:hint="eastAsia" w:ascii="Cambria" w:hAnsi="Cambria"/>
          <w:sz w:val="22"/>
          <w:lang w:val="en-GB"/>
        </w:rPr>
      </w:pPr>
      <w:r>
        <w:rPr>
          <w:rFonts w:hint="eastAsia" w:ascii="Cambria" w:hAnsi="Cambria"/>
          <w:sz w:val="22"/>
          <w:lang w:val="en-GB"/>
        </w:rPr>
        <w:t>The online survey initially yielded 741 questionnaires. As the survey platform required a response to every item, there were no substantive item-level missing data. In accordance with the prespecified data-screening plan, straight-lining was defined as zero within-person response variance across all eligible items in the designated questionnaire sections. This criterion was applied before model estimation and before the results of the primary analyses were examined. Sixty-three questionnaires met the criterion and were excluded, leaving 678 valid responses and a retention rate of 91.5%.</w:t>
      </w:r>
    </w:p>
    <w:p w14:paraId="6376B564">
      <w:pPr>
        <w:spacing w:after="0"/>
        <w:jc w:val="both"/>
        <w:rPr>
          <w:rFonts w:hint="eastAsia" w:ascii="Cambria" w:hAnsi="Cambria"/>
          <w:sz w:val="22"/>
          <w:lang w:val="en-GB"/>
        </w:rPr>
      </w:pPr>
      <w:r>
        <w:rPr>
          <w:rFonts w:hint="eastAsia" w:ascii="Cambria" w:hAnsi="Cambria"/>
          <w:sz w:val="22"/>
          <w:lang w:val="en-GB"/>
        </w:rPr>
        <w:t>The final sample comprised 498 women (73.5%) and 180 men (26.5%), including 334 first-year, 237 second-year, and 107 third-year students. Participants represented a range of teacher education majors, the full distribution of which is reported in Table 1.</w:t>
      </w:r>
    </w:p>
    <w:p w14:paraId="1152285F">
      <w:pPr>
        <w:pStyle w:val="5"/>
        <w:keepNext/>
        <w:spacing w:line="240" w:lineRule="auto"/>
        <w:jc w:val="center"/>
        <w:rPr>
          <w:rFonts w:hint="eastAsia" w:ascii="Cambria" w:hAnsi="Cambria" w:eastAsia="Arial" w:cs="Arial"/>
          <w:b w:val="0"/>
          <w:bCs w:val="0"/>
          <w:snapToGrid w:val="0"/>
          <w:color w:val="000000"/>
          <w:kern w:val="0"/>
          <w:sz w:val="22"/>
          <w:szCs w:val="21"/>
          <w:lang w:val="en-GB" w:eastAsia="en-US" w:bidi="ar-SA"/>
        </w:rPr>
      </w:pPr>
      <w:r>
        <w:rPr>
          <w:rFonts w:hint="eastAsia" w:ascii="Cambria" w:hAnsi="Cambria" w:eastAsia="Arial" w:cs="Arial"/>
          <w:b w:val="0"/>
          <w:bCs w:val="0"/>
          <w:snapToGrid w:val="0"/>
          <w:color w:val="000000"/>
          <w:kern w:val="0"/>
          <w:sz w:val="22"/>
          <w:szCs w:val="21"/>
          <w:lang w:val="en-GB" w:eastAsia="en-US" w:bidi="ar-SA"/>
        </w:rPr>
        <w:t>Table 1. Participant characteristics</w:t>
      </w:r>
    </w:p>
    <w:tbl>
      <w:tblPr>
        <w:tblStyle w:val="8"/>
        <w:tblW w:w="4813"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651"/>
        <w:gridCol w:w="3888"/>
        <w:gridCol w:w="1812"/>
        <w:gridCol w:w="1516"/>
      </w:tblGrid>
      <w:tr w14:paraId="110FA6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74" w:hRule="atLeast"/>
        </w:trPr>
        <w:tc>
          <w:tcPr>
            <w:tcW w:w="1489" w:type="dxa"/>
            <w:tcBorders>
              <w:top w:val="single" w:color="000000" w:sz="12" w:space="0"/>
              <w:left w:val="nil"/>
              <w:bottom w:val="single" w:color="000000" w:sz="4" w:space="0"/>
              <w:right w:val="nil"/>
              <w:tl2br w:val="nil"/>
              <w:tr2bl w:val="nil"/>
            </w:tcBorders>
            <w:shd w:val="clear" w:color="auto" w:fill="auto"/>
            <w:vAlign w:val="center"/>
          </w:tcPr>
          <w:p w14:paraId="10798187">
            <w:pPr>
              <w:pStyle w:val="5"/>
              <w:keepNext/>
              <w:keepLines w:val="0"/>
              <w:widowControl/>
              <w:suppressLineNumbers w:val="0"/>
              <w:spacing w:before="0" w:beforeLines="0" w:beforeAutospacing="0" w:after="0" w:afterLines="0" w:afterAutospacing="0" w:line="240" w:lineRule="auto"/>
              <w:ind w:left="0" w:right="0"/>
              <w:jc w:val="center"/>
              <w:rPr>
                <w:rFonts w:hint="default" w:ascii="Cambria" w:hAnsi="Cambria" w:eastAsia="Arial" w:cs="Arial"/>
                <w:b w:val="0"/>
                <w:bCs w:val="0"/>
                <w:snapToGrid w:val="0"/>
                <w:color w:val="000000"/>
                <w:kern w:val="0"/>
                <w:sz w:val="22"/>
                <w:szCs w:val="21"/>
                <w:lang w:val="en-US" w:eastAsia="zh-CN" w:bidi="ar-SA"/>
              </w:rPr>
            </w:pPr>
            <w:r>
              <w:rPr>
                <w:rFonts w:hint="eastAsia" w:ascii="Cambria" w:hAnsi="Cambria" w:eastAsia="Arial" w:cs="Arial"/>
                <w:b w:val="0"/>
                <w:bCs w:val="0"/>
                <w:snapToGrid w:val="0"/>
                <w:color w:val="000000"/>
                <w:kern w:val="0"/>
                <w:sz w:val="22"/>
                <w:szCs w:val="21"/>
                <w:lang w:val="en-GB" w:eastAsia="en-US" w:bidi="ar-SA"/>
              </w:rPr>
              <w:t>Characteristic</w:t>
            </w:r>
          </w:p>
        </w:tc>
        <w:tc>
          <w:tcPr>
            <w:tcW w:w="3506" w:type="dxa"/>
            <w:tcBorders>
              <w:top w:val="single" w:color="000000" w:sz="12" w:space="0"/>
              <w:left w:val="nil"/>
              <w:bottom w:val="single" w:color="000000" w:sz="4" w:space="0"/>
              <w:right w:val="nil"/>
              <w:tl2br w:val="nil"/>
              <w:tr2bl w:val="nil"/>
            </w:tcBorders>
            <w:shd w:val="clear" w:color="auto" w:fill="auto"/>
            <w:vAlign w:val="center"/>
          </w:tcPr>
          <w:p w14:paraId="2CCF1931">
            <w:pPr>
              <w:pStyle w:val="5"/>
              <w:keepNext/>
              <w:keepLines w:val="0"/>
              <w:widowControl/>
              <w:suppressLineNumbers w:val="0"/>
              <w:spacing w:before="0" w:beforeLines="0" w:beforeAutospacing="0" w:after="0" w:afterLines="0" w:afterAutospacing="0" w:line="240" w:lineRule="auto"/>
              <w:ind w:left="0" w:right="0"/>
              <w:jc w:val="center"/>
              <w:rPr>
                <w:rFonts w:hint="default" w:ascii="Cambria" w:hAnsi="Cambria" w:eastAsia="Arial" w:cs="Arial"/>
                <w:b w:val="0"/>
                <w:bCs w:val="0"/>
                <w:snapToGrid w:val="0"/>
                <w:color w:val="000000"/>
                <w:kern w:val="0"/>
                <w:sz w:val="22"/>
                <w:szCs w:val="21"/>
                <w:lang w:val="en-US" w:eastAsia="zh-CN" w:bidi="ar-SA"/>
              </w:rPr>
            </w:pPr>
            <w:r>
              <w:rPr>
                <w:rFonts w:hint="eastAsia" w:ascii="Cambria" w:hAnsi="Cambria" w:eastAsia="Arial" w:cs="Arial"/>
                <w:b w:val="0"/>
                <w:bCs w:val="0"/>
                <w:snapToGrid w:val="0"/>
                <w:color w:val="000000"/>
                <w:kern w:val="0"/>
                <w:sz w:val="22"/>
                <w:szCs w:val="21"/>
                <w:lang w:val="en-GB" w:eastAsia="en-US" w:bidi="ar-SA"/>
              </w:rPr>
              <w:t>Category</w:t>
            </w:r>
          </w:p>
        </w:tc>
        <w:tc>
          <w:tcPr>
            <w:tcW w:w="1634" w:type="dxa"/>
            <w:tcBorders>
              <w:top w:val="single" w:color="000000" w:sz="12" w:space="0"/>
              <w:left w:val="nil"/>
              <w:bottom w:val="single" w:color="000000" w:sz="4" w:space="0"/>
              <w:right w:val="nil"/>
              <w:tl2br w:val="nil"/>
              <w:tr2bl w:val="nil"/>
            </w:tcBorders>
            <w:shd w:val="clear" w:color="auto" w:fill="auto"/>
            <w:vAlign w:val="center"/>
          </w:tcPr>
          <w:p w14:paraId="560B3F2C">
            <w:pPr>
              <w:pStyle w:val="5"/>
              <w:keepNext/>
              <w:keepLines w:val="0"/>
              <w:widowControl/>
              <w:suppressLineNumbers w:val="0"/>
              <w:spacing w:before="0" w:beforeLines="0" w:beforeAutospacing="0" w:after="0" w:afterLines="0" w:afterAutospacing="0" w:line="240" w:lineRule="auto"/>
              <w:ind w:left="60" w:leftChars="0" w:right="60" w:rightChars="0"/>
              <w:jc w:val="center"/>
              <w:rPr>
                <w:rFonts w:hint="default" w:ascii="Cambria" w:hAnsi="Cambria" w:eastAsia="Arial" w:cs="Arial"/>
                <w:b w:val="0"/>
                <w:bCs w:val="0"/>
                <w:snapToGrid w:val="0"/>
                <w:color w:val="000000"/>
                <w:kern w:val="0"/>
                <w:sz w:val="22"/>
                <w:szCs w:val="21"/>
                <w:lang w:val="en-GB" w:eastAsia="en-US" w:bidi="ar-SA"/>
              </w:rPr>
            </w:pPr>
            <w:r>
              <w:rPr>
                <w:rFonts w:hint="eastAsia" w:ascii="Cambria" w:hAnsi="Cambria" w:eastAsia="Arial" w:cs="Arial"/>
                <w:b w:val="0"/>
                <w:bCs w:val="0"/>
                <w:snapToGrid w:val="0"/>
                <w:color w:val="000000"/>
                <w:kern w:val="0"/>
                <w:sz w:val="22"/>
                <w:szCs w:val="21"/>
                <w:lang w:val="en-GB" w:eastAsia="en-US" w:bidi="ar-SA"/>
              </w:rPr>
              <w:t>n</w:t>
            </w:r>
          </w:p>
        </w:tc>
        <w:tc>
          <w:tcPr>
            <w:tcW w:w="1367" w:type="dxa"/>
            <w:tcBorders>
              <w:top w:val="single" w:color="000000" w:sz="12" w:space="0"/>
              <w:left w:val="nil"/>
              <w:bottom w:val="single" w:color="000000" w:sz="4" w:space="0"/>
              <w:right w:val="nil"/>
              <w:tl2br w:val="nil"/>
              <w:tr2bl w:val="nil"/>
            </w:tcBorders>
            <w:shd w:val="clear" w:color="auto" w:fill="auto"/>
            <w:vAlign w:val="center"/>
          </w:tcPr>
          <w:p w14:paraId="6424A379">
            <w:pPr>
              <w:pStyle w:val="5"/>
              <w:keepNext/>
              <w:keepLines w:val="0"/>
              <w:widowControl/>
              <w:suppressLineNumbers w:val="0"/>
              <w:spacing w:before="0" w:beforeLines="0" w:beforeAutospacing="0" w:after="0" w:afterLines="0" w:afterAutospacing="0" w:line="240" w:lineRule="auto"/>
              <w:ind w:left="60" w:leftChars="0" w:right="60" w:rightChars="0"/>
              <w:jc w:val="center"/>
              <w:rPr>
                <w:rFonts w:hint="default" w:ascii="Cambria" w:hAnsi="Cambria" w:eastAsia="Arial" w:cs="Arial"/>
                <w:b w:val="0"/>
                <w:bCs w:val="0"/>
                <w:snapToGrid w:val="0"/>
                <w:color w:val="000000"/>
                <w:kern w:val="0"/>
                <w:sz w:val="22"/>
                <w:szCs w:val="21"/>
                <w:lang w:val="en-GB" w:eastAsia="en-US" w:bidi="ar-SA"/>
              </w:rPr>
            </w:pPr>
            <w:r>
              <w:rPr>
                <w:rFonts w:hint="eastAsia" w:ascii="Cambria" w:hAnsi="Cambria" w:eastAsia="Arial" w:cs="Arial"/>
                <w:b w:val="0"/>
                <w:bCs w:val="0"/>
                <w:snapToGrid w:val="0"/>
                <w:color w:val="000000"/>
                <w:kern w:val="0"/>
                <w:sz w:val="22"/>
                <w:szCs w:val="21"/>
                <w:lang w:val="en-GB" w:eastAsia="en-US" w:bidi="ar-SA"/>
              </w:rPr>
              <w:t>%</w:t>
            </w:r>
          </w:p>
        </w:tc>
      </w:tr>
      <w:tr w14:paraId="3ED62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34" w:hRule="atLeast"/>
        </w:trPr>
        <w:tc>
          <w:tcPr>
            <w:tcW w:w="1489" w:type="dxa"/>
            <w:vMerge w:val="restart"/>
            <w:tcBorders>
              <w:top w:val="single" w:color="000000" w:sz="4" w:space="0"/>
              <w:left w:val="nil"/>
              <w:bottom w:val="nil"/>
              <w:right w:val="nil"/>
              <w:tl2br w:val="nil"/>
              <w:tr2bl w:val="nil"/>
            </w:tcBorders>
            <w:shd w:val="clear" w:color="auto" w:fill="auto"/>
            <w:vAlign w:val="center"/>
          </w:tcPr>
          <w:p w14:paraId="4C6AA984">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Gender</w:t>
            </w:r>
          </w:p>
        </w:tc>
        <w:tc>
          <w:tcPr>
            <w:tcW w:w="3506" w:type="dxa"/>
            <w:tcBorders>
              <w:top w:val="single" w:color="000000" w:sz="4" w:space="0"/>
              <w:left w:val="nil"/>
              <w:bottom w:val="nil"/>
              <w:right w:val="nil"/>
              <w:tl2br w:val="nil"/>
              <w:tr2bl w:val="nil"/>
            </w:tcBorders>
            <w:shd w:val="clear" w:color="auto" w:fill="auto"/>
            <w:vAlign w:val="center"/>
          </w:tcPr>
          <w:p w14:paraId="4C10384B">
            <w:pPr>
              <w:spacing w:after="0"/>
              <w:jc w:val="center"/>
              <w:rPr>
                <w:rFonts w:hint="default"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US" w:eastAsia="zh-CN" w:bidi="ar-SA"/>
              </w:rPr>
              <w:t>Male</w:t>
            </w:r>
          </w:p>
        </w:tc>
        <w:tc>
          <w:tcPr>
            <w:tcW w:w="1634" w:type="dxa"/>
            <w:tcBorders>
              <w:top w:val="single" w:color="000000" w:sz="4" w:space="0"/>
              <w:left w:val="nil"/>
              <w:bottom w:val="nil"/>
              <w:right w:val="nil"/>
              <w:tl2br w:val="nil"/>
              <w:tr2bl w:val="nil"/>
            </w:tcBorders>
            <w:shd w:val="clear" w:color="auto" w:fill="auto"/>
            <w:vAlign w:val="center"/>
          </w:tcPr>
          <w:p w14:paraId="4DBC6401">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180</w:t>
            </w:r>
          </w:p>
        </w:tc>
        <w:tc>
          <w:tcPr>
            <w:tcW w:w="1367" w:type="dxa"/>
            <w:tcBorders>
              <w:top w:val="single" w:color="000000" w:sz="4" w:space="0"/>
              <w:left w:val="nil"/>
              <w:bottom w:val="nil"/>
              <w:right w:val="nil"/>
              <w:tl2br w:val="nil"/>
              <w:tr2bl w:val="nil"/>
            </w:tcBorders>
            <w:shd w:val="clear" w:color="auto" w:fill="auto"/>
            <w:vAlign w:val="center"/>
          </w:tcPr>
          <w:p w14:paraId="0DB6518F">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26.5</w:t>
            </w:r>
          </w:p>
        </w:tc>
      </w:tr>
      <w:tr w14:paraId="686BE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continue"/>
            <w:tcBorders>
              <w:top w:val="nil"/>
              <w:left w:val="nil"/>
              <w:bottom w:val="nil"/>
              <w:right w:val="nil"/>
              <w:tl2br w:val="nil"/>
              <w:tr2bl w:val="nil"/>
            </w:tcBorders>
            <w:shd w:val="clear" w:color="auto" w:fill="auto"/>
            <w:vAlign w:val="center"/>
          </w:tcPr>
          <w:p w14:paraId="19700D40">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65E254C6">
            <w:pPr>
              <w:spacing w:after="0"/>
              <w:jc w:val="center"/>
              <w:rPr>
                <w:rFonts w:hint="default"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US" w:eastAsia="zh-CN" w:bidi="ar-SA"/>
              </w:rPr>
              <w:t>Female</w:t>
            </w:r>
          </w:p>
        </w:tc>
        <w:tc>
          <w:tcPr>
            <w:tcW w:w="1634" w:type="dxa"/>
            <w:tcBorders>
              <w:top w:val="nil"/>
              <w:left w:val="nil"/>
              <w:bottom w:val="nil"/>
              <w:right w:val="nil"/>
              <w:tl2br w:val="nil"/>
              <w:tr2bl w:val="nil"/>
            </w:tcBorders>
            <w:shd w:val="clear" w:color="auto" w:fill="auto"/>
            <w:vAlign w:val="center"/>
          </w:tcPr>
          <w:p w14:paraId="31B12CE0">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498</w:t>
            </w:r>
          </w:p>
        </w:tc>
        <w:tc>
          <w:tcPr>
            <w:tcW w:w="1367" w:type="dxa"/>
            <w:tcBorders>
              <w:top w:val="nil"/>
              <w:left w:val="nil"/>
              <w:bottom w:val="nil"/>
              <w:right w:val="nil"/>
              <w:tl2br w:val="nil"/>
              <w:tr2bl w:val="nil"/>
            </w:tcBorders>
            <w:shd w:val="clear" w:color="auto" w:fill="auto"/>
            <w:vAlign w:val="center"/>
          </w:tcPr>
          <w:p w14:paraId="7805A8DD">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73.5</w:t>
            </w:r>
          </w:p>
        </w:tc>
      </w:tr>
      <w:tr w14:paraId="084DC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restart"/>
            <w:tcBorders>
              <w:top w:val="nil"/>
              <w:left w:val="nil"/>
              <w:bottom w:val="nil"/>
              <w:right w:val="nil"/>
              <w:tl2br w:val="nil"/>
              <w:tr2bl w:val="nil"/>
            </w:tcBorders>
            <w:shd w:val="clear" w:color="auto" w:fill="auto"/>
            <w:vAlign w:val="center"/>
          </w:tcPr>
          <w:p w14:paraId="24624E01">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Grade</w:t>
            </w:r>
          </w:p>
        </w:tc>
        <w:tc>
          <w:tcPr>
            <w:tcW w:w="3506" w:type="dxa"/>
            <w:tcBorders>
              <w:top w:val="nil"/>
              <w:left w:val="nil"/>
              <w:bottom w:val="nil"/>
              <w:right w:val="nil"/>
              <w:tl2br w:val="nil"/>
              <w:tr2bl w:val="nil"/>
            </w:tcBorders>
            <w:shd w:val="clear" w:color="auto" w:fill="auto"/>
            <w:vAlign w:val="center"/>
          </w:tcPr>
          <w:p w14:paraId="0228BD41">
            <w:pPr>
              <w:spacing w:after="0"/>
              <w:jc w:val="center"/>
              <w:rPr>
                <w:rFonts w:hint="eastAsia"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US" w:eastAsia="zh-CN" w:bidi="ar-SA"/>
              </w:rPr>
              <w:t>first-year students</w:t>
            </w:r>
          </w:p>
        </w:tc>
        <w:tc>
          <w:tcPr>
            <w:tcW w:w="1634" w:type="dxa"/>
            <w:tcBorders>
              <w:top w:val="nil"/>
              <w:left w:val="nil"/>
              <w:bottom w:val="nil"/>
              <w:right w:val="nil"/>
              <w:tl2br w:val="nil"/>
              <w:tr2bl w:val="nil"/>
            </w:tcBorders>
            <w:shd w:val="clear" w:color="auto" w:fill="auto"/>
            <w:vAlign w:val="center"/>
          </w:tcPr>
          <w:p w14:paraId="17AFBA3B">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334</w:t>
            </w:r>
          </w:p>
        </w:tc>
        <w:tc>
          <w:tcPr>
            <w:tcW w:w="1367" w:type="dxa"/>
            <w:tcBorders>
              <w:top w:val="nil"/>
              <w:left w:val="nil"/>
              <w:bottom w:val="nil"/>
              <w:right w:val="nil"/>
              <w:tl2br w:val="nil"/>
              <w:tr2bl w:val="nil"/>
            </w:tcBorders>
            <w:shd w:val="clear" w:color="auto" w:fill="auto"/>
            <w:vAlign w:val="center"/>
          </w:tcPr>
          <w:p w14:paraId="68B5883F">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49.3</w:t>
            </w:r>
          </w:p>
        </w:tc>
      </w:tr>
      <w:tr w14:paraId="268EF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272" w:hRule="atLeast"/>
        </w:trPr>
        <w:tc>
          <w:tcPr>
            <w:tcW w:w="1489" w:type="dxa"/>
            <w:vMerge w:val="continue"/>
            <w:tcBorders>
              <w:top w:val="nil"/>
              <w:left w:val="nil"/>
              <w:bottom w:val="nil"/>
              <w:right w:val="nil"/>
              <w:tl2br w:val="nil"/>
              <w:tr2bl w:val="nil"/>
            </w:tcBorders>
            <w:shd w:val="clear" w:color="auto" w:fill="auto"/>
            <w:vAlign w:val="center"/>
          </w:tcPr>
          <w:p w14:paraId="68C37C8F">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32777D86">
            <w:pPr>
              <w:spacing w:after="0"/>
              <w:jc w:val="center"/>
              <w:rPr>
                <w:rFonts w:hint="default"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US" w:eastAsia="zh-CN" w:bidi="ar-SA"/>
              </w:rPr>
              <w:t>second-year students</w:t>
            </w:r>
          </w:p>
        </w:tc>
        <w:tc>
          <w:tcPr>
            <w:tcW w:w="1634" w:type="dxa"/>
            <w:tcBorders>
              <w:top w:val="nil"/>
              <w:left w:val="nil"/>
              <w:bottom w:val="nil"/>
              <w:right w:val="nil"/>
              <w:tl2br w:val="nil"/>
              <w:tr2bl w:val="nil"/>
            </w:tcBorders>
            <w:shd w:val="clear" w:color="auto" w:fill="auto"/>
            <w:vAlign w:val="center"/>
          </w:tcPr>
          <w:p w14:paraId="591D2446">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237</w:t>
            </w:r>
          </w:p>
        </w:tc>
        <w:tc>
          <w:tcPr>
            <w:tcW w:w="1367" w:type="dxa"/>
            <w:tcBorders>
              <w:top w:val="nil"/>
              <w:left w:val="nil"/>
              <w:bottom w:val="nil"/>
              <w:right w:val="nil"/>
              <w:tl2br w:val="nil"/>
              <w:tr2bl w:val="nil"/>
            </w:tcBorders>
            <w:shd w:val="clear" w:color="auto" w:fill="auto"/>
            <w:vAlign w:val="center"/>
          </w:tcPr>
          <w:p w14:paraId="48D45F58">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35.0</w:t>
            </w:r>
          </w:p>
        </w:tc>
      </w:tr>
      <w:tr w14:paraId="3481D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continue"/>
            <w:tcBorders>
              <w:top w:val="nil"/>
              <w:left w:val="nil"/>
              <w:bottom w:val="nil"/>
              <w:right w:val="nil"/>
              <w:tl2br w:val="nil"/>
              <w:tr2bl w:val="nil"/>
            </w:tcBorders>
            <w:shd w:val="clear" w:color="auto" w:fill="auto"/>
            <w:vAlign w:val="center"/>
          </w:tcPr>
          <w:p w14:paraId="432E5A1C">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51865486">
            <w:pPr>
              <w:spacing w:after="0"/>
              <w:jc w:val="center"/>
              <w:rPr>
                <w:rFonts w:hint="default"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US" w:eastAsia="zh-CN" w:bidi="ar-SA"/>
              </w:rPr>
              <w:t>third-year students</w:t>
            </w:r>
          </w:p>
        </w:tc>
        <w:tc>
          <w:tcPr>
            <w:tcW w:w="1634" w:type="dxa"/>
            <w:tcBorders>
              <w:top w:val="nil"/>
              <w:left w:val="nil"/>
              <w:bottom w:val="nil"/>
              <w:right w:val="nil"/>
              <w:tl2br w:val="nil"/>
              <w:tr2bl w:val="nil"/>
            </w:tcBorders>
            <w:shd w:val="clear" w:color="auto" w:fill="auto"/>
            <w:vAlign w:val="center"/>
          </w:tcPr>
          <w:p w14:paraId="191EAB14">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107</w:t>
            </w:r>
          </w:p>
        </w:tc>
        <w:tc>
          <w:tcPr>
            <w:tcW w:w="1367" w:type="dxa"/>
            <w:tcBorders>
              <w:top w:val="nil"/>
              <w:left w:val="nil"/>
              <w:bottom w:val="nil"/>
              <w:right w:val="nil"/>
              <w:tl2br w:val="nil"/>
              <w:tr2bl w:val="nil"/>
            </w:tcBorders>
            <w:shd w:val="clear" w:color="auto" w:fill="auto"/>
            <w:vAlign w:val="center"/>
          </w:tcPr>
          <w:p w14:paraId="0741F832">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15.8</w:t>
            </w:r>
          </w:p>
        </w:tc>
      </w:tr>
      <w:tr w14:paraId="660F6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restart"/>
            <w:tcBorders>
              <w:top w:val="nil"/>
              <w:left w:val="nil"/>
              <w:bottom w:val="nil"/>
              <w:right w:val="nil"/>
              <w:tl2br w:val="nil"/>
              <w:tr2bl w:val="nil"/>
            </w:tcBorders>
            <w:shd w:val="clear" w:color="auto" w:fill="auto"/>
            <w:vAlign w:val="center"/>
          </w:tcPr>
          <w:p w14:paraId="69F46766">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University</w:t>
            </w:r>
          </w:p>
        </w:tc>
        <w:tc>
          <w:tcPr>
            <w:tcW w:w="3506" w:type="dxa"/>
            <w:tcBorders>
              <w:top w:val="nil"/>
              <w:left w:val="nil"/>
              <w:bottom w:val="nil"/>
              <w:right w:val="nil"/>
              <w:tl2br w:val="nil"/>
              <w:tr2bl w:val="nil"/>
            </w:tcBorders>
            <w:shd w:val="clear" w:color="auto" w:fill="auto"/>
            <w:vAlign w:val="center"/>
          </w:tcPr>
          <w:p w14:paraId="07547E12">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University A</w:t>
            </w:r>
          </w:p>
        </w:tc>
        <w:tc>
          <w:tcPr>
            <w:tcW w:w="1634" w:type="dxa"/>
            <w:tcBorders>
              <w:top w:val="nil"/>
              <w:left w:val="nil"/>
              <w:bottom w:val="nil"/>
              <w:right w:val="nil"/>
              <w:tl2br w:val="nil"/>
              <w:tr2bl w:val="nil"/>
            </w:tcBorders>
            <w:shd w:val="clear" w:color="auto" w:fill="auto"/>
            <w:vAlign w:val="center"/>
          </w:tcPr>
          <w:p w14:paraId="77F88290">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60</w:t>
            </w:r>
          </w:p>
        </w:tc>
        <w:tc>
          <w:tcPr>
            <w:tcW w:w="1367" w:type="dxa"/>
            <w:tcBorders>
              <w:top w:val="nil"/>
              <w:left w:val="nil"/>
              <w:bottom w:val="nil"/>
              <w:right w:val="nil"/>
              <w:tl2br w:val="nil"/>
              <w:tr2bl w:val="nil"/>
            </w:tcBorders>
            <w:shd w:val="clear" w:color="auto" w:fill="auto"/>
            <w:vAlign w:val="center"/>
          </w:tcPr>
          <w:p w14:paraId="20B5016B">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8.8</w:t>
            </w:r>
          </w:p>
        </w:tc>
      </w:tr>
      <w:tr w14:paraId="0F365F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continue"/>
            <w:tcBorders>
              <w:top w:val="nil"/>
              <w:left w:val="nil"/>
              <w:bottom w:val="nil"/>
              <w:right w:val="nil"/>
              <w:tl2br w:val="nil"/>
              <w:tr2bl w:val="nil"/>
            </w:tcBorders>
            <w:shd w:val="clear" w:color="auto" w:fill="auto"/>
            <w:vAlign w:val="center"/>
          </w:tcPr>
          <w:p w14:paraId="0E001870">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0B741A16">
            <w:pPr>
              <w:spacing w:after="0"/>
              <w:jc w:val="center"/>
              <w:rPr>
                <w:rFonts w:hint="default"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GB" w:eastAsia="en-US" w:bidi="ar-SA"/>
              </w:rPr>
              <w:t xml:space="preserve">University </w:t>
            </w:r>
            <w:r>
              <w:rPr>
                <w:rFonts w:hint="default" w:ascii="Cambria" w:hAnsi="Cambria" w:eastAsia="Arial" w:cs="Arial"/>
                <w:b w:val="0"/>
                <w:bCs w:val="0"/>
                <w:snapToGrid w:val="0"/>
                <w:color w:val="000000"/>
                <w:kern w:val="0"/>
                <w:sz w:val="22"/>
                <w:szCs w:val="21"/>
                <w:lang w:val="en-US" w:eastAsia="zh-CN" w:bidi="ar-SA"/>
              </w:rPr>
              <w:t>B</w:t>
            </w:r>
          </w:p>
        </w:tc>
        <w:tc>
          <w:tcPr>
            <w:tcW w:w="1634" w:type="dxa"/>
            <w:tcBorders>
              <w:top w:val="nil"/>
              <w:left w:val="nil"/>
              <w:bottom w:val="nil"/>
              <w:right w:val="nil"/>
              <w:tl2br w:val="nil"/>
              <w:tr2bl w:val="nil"/>
            </w:tcBorders>
            <w:shd w:val="clear" w:color="auto" w:fill="auto"/>
            <w:vAlign w:val="center"/>
          </w:tcPr>
          <w:p w14:paraId="0024C199">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61</w:t>
            </w:r>
          </w:p>
        </w:tc>
        <w:tc>
          <w:tcPr>
            <w:tcW w:w="1367" w:type="dxa"/>
            <w:tcBorders>
              <w:top w:val="nil"/>
              <w:left w:val="nil"/>
              <w:bottom w:val="nil"/>
              <w:right w:val="nil"/>
              <w:tl2br w:val="nil"/>
              <w:tr2bl w:val="nil"/>
            </w:tcBorders>
            <w:shd w:val="clear" w:color="auto" w:fill="auto"/>
            <w:vAlign w:val="center"/>
          </w:tcPr>
          <w:p w14:paraId="0C0AE0A0">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9.0</w:t>
            </w:r>
          </w:p>
        </w:tc>
      </w:tr>
      <w:tr w14:paraId="3E39D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08" w:hRule="atLeast"/>
        </w:trPr>
        <w:tc>
          <w:tcPr>
            <w:tcW w:w="1489" w:type="dxa"/>
            <w:vMerge w:val="continue"/>
            <w:tcBorders>
              <w:top w:val="nil"/>
              <w:left w:val="nil"/>
              <w:bottom w:val="nil"/>
              <w:right w:val="nil"/>
              <w:tl2br w:val="nil"/>
              <w:tr2bl w:val="nil"/>
            </w:tcBorders>
            <w:shd w:val="clear" w:color="auto" w:fill="auto"/>
            <w:vAlign w:val="center"/>
          </w:tcPr>
          <w:p w14:paraId="34321A49">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2BC4FA16">
            <w:pPr>
              <w:spacing w:after="0"/>
              <w:jc w:val="center"/>
              <w:rPr>
                <w:rFonts w:hint="default"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GB" w:eastAsia="en-US" w:bidi="ar-SA"/>
              </w:rPr>
              <w:t xml:space="preserve">University </w:t>
            </w:r>
            <w:r>
              <w:rPr>
                <w:rFonts w:hint="default" w:ascii="Cambria" w:hAnsi="Cambria" w:eastAsia="Arial" w:cs="Arial"/>
                <w:b w:val="0"/>
                <w:bCs w:val="0"/>
                <w:snapToGrid w:val="0"/>
                <w:color w:val="000000"/>
                <w:kern w:val="0"/>
                <w:sz w:val="22"/>
                <w:szCs w:val="21"/>
                <w:lang w:val="en-US" w:eastAsia="zh-CN" w:bidi="ar-SA"/>
              </w:rPr>
              <w:t>C</w:t>
            </w:r>
          </w:p>
        </w:tc>
        <w:tc>
          <w:tcPr>
            <w:tcW w:w="1634" w:type="dxa"/>
            <w:tcBorders>
              <w:top w:val="nil"/>
              <w:left w:val="nil"/>
              <w:bottom w:val="nil"/>
              <w:right w:val="nil"/>
              <w:tl2br w:val="nil"/>
              <w:tr2bl w:val="nil"/>
            </w:tcBorders>
            <w:shd w:val="clear" w:color="auto" w:fill="auto"/>
            <w:vAlign w:val="center"/>
          </w:tcPr>
          <w:p w14:paraId="1B218E17">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74</w:t>
            </w:r>
          </w:p>
        </w:tc>
        <w:tc>
          <w:tcPr>
            <w:tcW w:w="1367" w:type="dxa"/>
            <w:tcBorders>
              <w:top w:val="nil"/>
              <w:left w:val="nil"/>
              <w:bottom w:val="nil"/>
              <w:right w:val="nil"/>
              <w:tl2br w:val="nil"/>
              <w:tr2bl w:val="nil"/>
            </w:tcBorders>
            <w:shd w:val="clear" w:color="auto" w:fill="auto"/>
            <w:vAlign w:val="center"/>
          </w:tcPr>
          <w:p w14:paraId="7CD97644">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10.9</w:t>
            </w:r>
          </w:p>
        </w:tc>
      </w:tr>
      <w:tr w14:paraId="5F2C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continue"/>
            <w:tcBorders>
              <w:top w:val="nil"/>
              <w:left w:val="nil"/>
              <w:bottom w:val="nil"/>
              <w:right w:val="nil"/>
              <w:tl2br w:val="nil"/>
              <w:tr2bl w:val="nil"/>
            </w:tcBorders>
            <w:shd w:val="clear" w:color="auto" w:fill="auto"/>
            <w:vAlign w:val="center"/>
          </w:tcPr>
          <w:p w14:paraId="5369A89E">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6DBC38DB">
            <w:pPr>
              <w:spacing w:after="0"/>
              <w:jc w:val="center"/>
              <w:rPr>
                <w:rFonts w:hint="default"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GB" w:eastAsia="en-US" w:bidi="ar-SA"/>
              </w:rPr>
              <w:t xml:space="preserve">University </w:t>
            </w:r>
            <w:r>
              <w:rPr>
                <w:rFonts w:hint="default" w:ascii="Cambria" w:hAnsi="Cambria" w:eastAsia="Arial" w:cs="Arial"/>
                <w:b w:val="0"/>
                <w:bCs w:val="0"/>
                <w:snapToGrid w:val="0"/>
                <w:color w:val="000000"/>
                <w:kern w:val="0"/>
                <w:sz w:val="22"/>
                <w:szCs w:val="21"/>
                <w:lang w:val="en-US" w:eastAsia="zh-CN" w:bidi="ar-SA"/>
              </w:rPr>
              <w:t>D</w:t>
            </w:r>
          </w:p>
        </w:tc>
        <w:tc>
          <w:tcPr>
            <w:tcW w:w="1634" w:type="dxa"/>
            <w:tcBorders>
              <w:top w:val="nil"/>
              <w:left w:val="nil"/>
              <w:bottom w:val="nil"/>
              <w:right w:val="nil"/>
              <w:tl2br w:val="nil"/>
              <w:tr2bl w:val="nil"/>
            </w:tcBorders>
            <w:shd w:val="clear" w:color="auto" w:fill="auto"/>
            <w:vAlign w:val="center"/>
          </w:tcPr>
          <w:p w14:paraId="62ADD484">
            <w:pPr>
              <w:spacing w:after="0"/>
              <w:jc w:val="center"/>
              <w:rPr>
                <w:rFonts w:hint="default"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GB" w:eastAsia="en-US" w:bidi="ar-SA"/>
              </w:rPr>
              <w:t>61</w:t>
            </w:r>
          </w:p>
        </w:tc>
        <w:tc>
          <w:tcPr>
            <w:tcW w:w="1367" w:type="dxa"/>
            <w:tcBorders>
              <w:top w:val="nil"/>
              <w:left w:val="nil"/>
              <w:bottom w:val="nil"/>
              <w:right w:val="nil"/>
              <w:tl2br w:val="nil"/>
              <w:tr2bl w:val="nil"/>
            </w:tcBorders>
            <w:shd w:val="clear" w:color="auto" w:fill="auto"/>
            <w:vAlign w:val="center"/>
          </w:tcPr>
          <w:p w14:paraId="09E3D981">
            <w:pPr>
              <w:spacing w:after="0"/>
              <w:jc w:val="center"/>
              <w:rPr>
                <w:rFonts w:hint="default"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GB" w:eastAsia="en-US" w:bidi="ar-SA"/>
              </w:rPr>
              <w:t>9.0</w:t>
            </w:r>
          </w:p>
        </w:tc>
      </w:tr>
      <w:tr w14:paraId="1156A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continue"/>
            <w:tcBorders>
              <w:top w:val="nil"/>
              <w:left w:val="nil"/>
              <w:bottom w:val="nil"/>
              <w:right w:val="nil"/>
              <w:tl2br w:val="nil"/>
              <w:tr2bl w:val="nil"/>
            </w:tcBorders>
            <w:shd w:val="clear" w:color="auto" w:fill="auto"/>
            <w:vAlign w:val="center"/>
          </w:tcPr>
          <w:p w14:paraId="6F1DC733">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57563A65">
            <w:pPr>
              <w:spacing w:after="0"/>
              <w:jc w:val="center"/>
              <w:rPr>
                <w:rFonts w:hint="default"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GB" w:eastAsia="en-US" w:bidi="ar-SA"/>
              </w:rPr>
              <w:t xml:space="preserve">University </w:t>
            </w:r>
            <w:r>
              <w:rPr>
                <w:rFonts w:hint="default" w:ascii="Cambria" w:hAnsi="Cambria" w:eastAsia="Arial" w:cs="Arial"/>
                <w:b w:val="0"/>
                <w:bCs w:val="0"/>
                <w:snapToGrid w:val="0"/>
                <w:color w:val="000000"/>
                <w:kern w:val="0"/>
                <w:sz w:val="22"/>
                <w:szCs w:val="21"/>
                <w:lang w:val="en-US" w:eastAsia="zh-CN" w:bidi="ar-SA"/>
              </w:rPr>
              <w:t>E</w:t>
            </w:r>
          </w:p>
        </w:tc>
        <w:tc>
          <w:tcPr>
            <w:tcW w:w="1634" w:type="dxa"/>
            <w:tcBorders>
              <w:top w:val="nil"/>
              <w:left w:val="nil"/>
              <w:bottom w:val="nil"/>
              <w:right w:val="nil"/>
              <w:tl2br w:val="nil"/>
              <w:tr2bl w:val="nil"/>
            </w:tcBorders>
            <w:shd w:val="clear" w:color="auto" w:fill="auto"/>
            <w:vAlign w:val="center"/>
          </w:tcPr>
          <w:p w14:paraId="3017C819">
            <w:pPr>
              <w:spacing w:after="0"/>
              <w:jc w:val="center"/>
              <w:rPr>
                <w:rFonts w:hint="eastAsia"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GB" w:eastAsia="en-US" w:bidi="ar-SA"/>
              </w:rPr>
              <w:t>362</w:t>
            </w:r>
          </w:p>
        </w:tc>
        <w:tc>
          <w:tcPr>
            <w:tcW w:w="1367" w:type="dxa"/>
            <w:tcBorders>
              <w:top w:val="nil"/>
              <w:left w:val="nil"/>
              <w:bottom w:val="nil"/>
              <w:right w:val="nil"/>
              <w:tl2br w:val="nil"/>
              <w:tr2bl w:val="nil"/>
            </w:tcBorders>
            <w:shd w:val="clear" w:color="auto" w:fill="auto"/>
            <w:vAlign w:val="center"/>
          </w:tcPr>
          <w:p w14:paraId="25974197">
            <w:pPr>
              <w:spacing w:after="0"/>
              <w:jc w:val="center"/>
              <w:rPr>
                <w:rFonts w:hint="default"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GB" w:eastAsia="en-US" w:bidi="ar-SA"/>
              </w:rPr>
              <w:t>53.4</w:t>
            </w:r>
          </w:p>
        </w:tc>
      </w:tr>
      <w:tr w14:paraId="2358E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18" w:hRule="atLeast"/>
        </w:trPr>
        <w:tc>
          <w:tcPr>
            <w:tcW w:w="1489" w:type="dxa"/>
            <w:vMerge w:val="continue"/>
            <w:tcBorders>
              <w:top w:val="nil"/>
              <w:left w:val="nil"/>
              <w:bottom w:val="nil"/>
              <w:right w:val="nil"/>
              <w:tl2br w:val="nil"/>
              <w:tr2bl w:val="nil"/>
            </w:tcBorders>
            <w:shd w:val="clear" w:color="auto" w:fill="auto"/>
            <w:vAlign w:val="center"/>
          </w:tcPr>
          <w:p w14:paraId="1B003767">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nil"/>
              <w:right w:val="nil"/>
              <w:tl2br w:val="nil"/>
              <w:tr2bl w:val="nil"/>
            </w:tcBorders>
            <w:shd w:val="clear" w:color="auto" w:fill="auto"/>
            <w:vAlign w:val="center"/>
          </w:tcPr>
          <w:p w14:paraId="576C73C2">
            <w:pPr>
              <w:spacing w:after="0"/>
              <w:jc w:val="center"/>
              <w:rPr>
                <w:rFonts w:hint="default" w:ascii="Cambria" w:hAnsi="Cambria" w:eastAsia="Arial" w:cs="Arial"/>
                <w:b w:val="0"/>
                <w:bCs w:val="0"/>
                <w:snapToGrid w:val="0"/>
                <w:color w:val="000000"/>
                <w:kern w:val="0"/>
                <w:sz w:val="22"/>
                <w:szCs w:val="21"/>
                <w:lang w:val="en-GB" w:eastAsia="zh-CN" w:bidi="ar-SA"/>
              </w:rPr>
            </w:pPr>
            <w:r>
              <w:rPr>
                <w:rFonts w:hint="default" w:ascii="Cambria" w:hAnsi="Cambria" w:eastAsia="Arial" w:cs="Arial"/>
                <w:b w:val="0"/>
                <w:bCs w:val="0"/>
                <w:snapToGrid w:val="0"/>
                <w:color w:val="000000"/>
                <w:kern w:val="0"/>
                <w:sz w:val="22"/>
                <w:szCs w:val="21"/>
                <w:lang w:val="en-GB" w:eastAsia="en-US" w:bidi="ar-SA"/>
              </w:rPr>
              <w:t xml:space="preserve">University </w:t>
            </w:r>
            <w:r>
              <w:rPr>
                <w:rFonts w:hint="default" w:ascii="Cambria" w:hAnsi="Cambria" w:eastAsia="Arial" w:cs="Arial"/>
                <w:b w:val="0"/>
                <w:bCs w:val="0"/>
                <w:snapToGrid w:val="0"/>
                <w:color w:val="000000"/>
                <w:kern w:val="0"/>
                <w:sz w:val="22"/>
                <w:szCs w:val="21"/>
                <w:lang w:val="en-US" w:eastAsia="zh-CN" w:bidi="ar-SA"/>
              </w:rPr>
              <w:t>F</w:t>
            </w:r>
          </w:p>
        </w:tc>
        <w:tc>
          <w:tcPr>
            <w:tcW w:w="1634" w:type="dxa"/>
            <w:tcBorders>
              <w:top w:val="nil"/>
              <w:left w:val="nil"/>
              <w:bottom w:val="nil"/>
              <w:right w:val="nil"/>
              <w:tl2br w:val="nil"/>
              <w:tr2bl w:val="nil"/>
            </w:tcBorders>
            <w:shd w:val="clear" w:color="auto" w:fill="auto"/>
            <w:vAlign w:val="center"/>
          </w:tcPr>
          <w:p w14:paraId="10E4E136">
            <w:pPr>
              <w:spacing w:after="0"/>
              <w:jc w:val="center"/>
              <w:rPr>
                <w:rFonts w:hint="default"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GB" w:eastAsia="en-US" w:bidi="ar-SA"/>
              </w:rPr>
              <w:t>60</w:t>
            </w:r>
          </w:p>
        </w:tc>
        <w:tc>
          <w:tcPr>
            <w:tcW w:w="1367" w:type="dxa"/>
            <w:tcBorders>
              <w:top w:val="nil"/>
              <w:left w:val="nil"/>
              <w:bottom w:val="nil"/>
              <w:right w:val="nil"/>
              <w:tl2br w:val="nil"/>
              <w:tr2bl w:val="nil"/>
            </w:tcBorders>
            <w:shd w:val="clear" w:color="auto" w:fill="auto"/>
            <w:vAlign w:val="center"/>
          </w:tcPr>
          <w:p w14:paraId="5D66A5A5">
            <w:pPr>
              <w:spacing w:after="0"/>
              <w:jc w:val="center"/>
              <w:rPr>
                <w:rFonts w:hint="default" w:ascii="Cambria" w:hAnsi="Cambria" w:eastAsia="Arial" w:cs="Arial"/>
                <w:b w:val="0"/>
                <w:bCs w:val="0"/>
                <w:snapToGrid w:val="0"/>
                <w:color w:val="000000"/>
                <w:kern w:val="0"/>
                <w:sz w:val="22"/>
                <w:szCs w:val="21"/>
                <w:lang w:val="en-US" w:eastAsia="zh-CN" w:bidi="ar-SA"/>
              </w:rPr>
            </w:pPr>
            <w:r>
              <w:rPr>
                <w:rFonts w:hint="default" w:ascii="Cambria" w:hAnsi="Cambria" w:eastAsia="Arial" w:cs="Arial"/>
                <w:b w:val="0"/>
                <w:bCs w:val="0"/>
                <w:snapToGrid w:val="0"/>
                <w:color w:val="000000"/>
                <w:kern w:val="0"/>
                <w:sz w:val="22"/>
                <w:szCs w:val="21"/>
                <w:lang w:val="en-GB" w:eastAsia="en-US" w:bidi="ar-SA"/>
              </w:rPr>
              <w:t>8.8</w:t>
            </w:r>
          </w:p>
        </w:tc>
      </w:tr>
      <w:tr w14:paraId="1F8C4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74" w:hRule="atLeast"/>
        </w:trPr>
        <w:tc>
          <w:tcPr>
            <w:tcW w:w="1489" w:type="dxa"/>
            <w:vMerge w:val="continue"/>
            <w:tcBorders>
              <w:top w:val="nil"/>
              <w:left w:val="nil"/>
              <w:bottom w:val="single" w:color="000000" w:sz="12" w:space="0"/>
              <w:right w:val="nil"/>
              <w:tl2br w:val="nil"/>
              <w:tr2bl w:val="nil"/>
            </w:tcBorders>
            <w:shd w:val="clear" w:color="auto" w:fill="auto"/>
            <w:vAlign w:val="center"/>
          </w:tcPr>
          <w:p w14:paraId="6F750C70">
            <w:pPr>
              <w:spacing w:after="0"/>
              <w:jc w:val="center"/>
              <w:rPr>
                <w:rFonts w:hint="default" w:ascii="Cambria" w:hAnsi="Cambria" w:eastAsia="Arial" w:cs="Arial"/>
                <w:b w:val="0"/>
                <w:bCs w:val="0"/>
                <w:snapToGrid w:val="0"/>
                <w:color w:val="000000"/>
                <w:kern w:val="0"/>
                <w:sz w:val="22"/>
                <w:szCs w:val="21"/>
                <w:lang w:val="en-GB" w:eastAsia="en-US" w:bidi="ar-SA"/>
              </w:rPr>
            </w:pPr>
          </w:p>
        </w:tc>
        <w:tc>
          <w:tcPr>
            <w:tcW w:w="3506" w:type="dxa"/>
            <w:tcBorders>
              <w:top w:val="nil"/>
              <w:left w:val="nil"/>
              <w:bottom w:val="single" w:color="000000" w:sz="12" w:space="0"/>
              <w:right w:val="nil"/>
              <w:tl2br w:val="nil"/>
              <w:tr2bl w:val="nil"/>
            </w:tcBorders>
            <w:shd w:val="clear" w:color="auto" w:fill="auto"/>
            <w:vAlign w:val="center"/>
          </w:tcPr>
          <w:p w14:paraId="7771B02E">
            <w:pPr>
              <w:spacing w:after="0"/>
              <w:jc w:val="center"/>
              <w:rPr>
                <w:rFonts w:hint="default" w:ascii="Cambria" w:hAnsi="Cambria" w:eastAsia="Arial" w:cs="Arial"/>
                <w:b w:val="0"/>
                <w:bCs w:val="0"/>
                <w:snapToGrid w:val="0"/>
                <w:color w:val="000000"/>
                <w:kern w:val="0"/>
                <w:sz w:val="22"/>
                <w:szCs w:val="21"/>
                <w:lang w:val="en-GB" w:eastAsia="en-US" w:bidi="ar-SA"/>
              </w:rPr>
            </w:pPr>
            <w:r>
              <w:rPr>
                <w:rFonts w:hint="eastAsia" w:ascii="Cambria" w:hAnsi="Cambria" w:eastAsia="Arial" w:cs="Arial"/>
                <w:b w:val="0"/>
                <w:bCs w:val="0"/>
                <w:snapToGrid w:val="0"/>
                <w:color w:val="000000"/>
                <w:kern w:val="0"/>
                <w:sz w:val="22"/>
                <w:szCs w:val="21"/>
                <w:lang w:val="en-US" w:eastAsia="zh-CN" w:bidi="ar-SA"/>
              </w:rPr>
              <w:t>T</w:t>
            </w:r>
            <w:r>
              <w:rPr>
                <w:rFonts w:hint="default" w:ascii="Cambria" w:hAnsi="Cambria" w:eastAsia="Arial" w:cs="Arial"/>
                <w:b w:val="0"/>
                <w:bCs w:val="0"/>
                <w:snapToGrid w:val="0"/>
                <w:color w:val="000000"/>
                <w:kern w:val="0"/>
                <w:sz w:val="22"/>
                <w:szCs w:val="21"/>
                <w:lang w:val="en-GB" w:eastAsia="en-US" w:bidi="ar-SA"/>
              </w:rPr>
              <w:t>otal</w:t>
            </w:r>
          </w:p>
        </w:tc>
        <w:tc>
          <w:tcPr>
            <w:tcW w:w="1634" w:type="dxa"/>
            <w:tcBorders>
              <w:top w:val="nil"/>
              <w:left w:val="nil"/>
              <w:bottom w:val="single" w:color="000000" w:sz="12" w:space="0"/>
              <w:right w:val="nil"/>
              <w:tl2br w:val="nil"/>
              <w:tr2bl w:val="nil"/>
            </w:tcBorders>
            <w:shd w:val="clear" w:color="auto" w:fill="auto"/>
            <w:vAlign w:val="center"/>
          </w:tcPr>
          <w:p w14:paraId="3ADD2AAA">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678</w:t>
            </w:r>
          </w:p>
        </w:tc>
        <w:tc>
          <w:tcPr>
            <w:tcW w:w="1367" w:type="dxa"/>
            <w:tcBorders>
              <w:top w:val="nil"/>
              <w:left w:val="nil"/>
              <w:bottom w:val="single" w:color="000000" w:sz="12" w:space="0"/>
              <w:right w:val="nil"/>
              <w:tl2br w:val="nil"/>
              <w:tr2bl w:val="nil"/>
            </w:tcBorders>
            <w:shd w:val="clear" w:color="auto" w:fill="auto"/>
            <w:vAlign w:val="center"/>
          </w:tcPr>
          <w:p w14:paraId="5168EC5D">
            <w:pPr>
              <w:spacing w:after="0"/>
              <w:jc w:val="center"/>
              <w:rPr>
                <w:rFonts w:hint="default" w:ascii="Cambria" w:hAnsi="Cambria" w:eastAsia="Arial" w:cs="Arial"/>
                <w:b w:val="0"/>
                <w:bCs w:val="0"/>
                <w:snapToGrid w:val="0"/>
                <w:color w:val="000000"/>
                <w:kern w:val="0"/>
                <w:sz w:val="22"/>
                <w:szCs w:val="21"/>
                <w:lang w:val="en-GB" w:eastAsia="en-US" w:bidi="ar-SA"/>
              </w:rPr>
            </w:pPr>
            <w:r>
              <w:rPr>
                <w:rFonts w:hint="default" w:ascii="Cambria" w:hAnsi="Cambria" w:eastAsia="Arial" w:cs="Arial"/>
                <w:b w:val="0"/>
                <w:bCs w:val="0"/>
                <w:snapToGrid w:val="0"/>
                <w:color w:val="000000"/>
                <w:kern w:val="0"/>
                <w:sz w:val="22"/>
                <w:szCs w:val="21"/>
                <w:lang w:val="en-GB" w:eastAsia="en-US" w:bidi="ar-SA"/>
              </w:rPr>
              <w:t>100.0</w:t>
            </w:r>
          </w:p>
        </w:tc>
      </w:tr>
    </w:tbl>
    <w:p w14:paraId="15ADA912">
      <w:pPr>
        <w:pStyle w:val="17"/>
        <w:spacing w:line="240" w:lineRule="auto"/>
        <w:rPr>
          <w:rFonts w:hint="eastAsia" w:ascii="Cambria" w:hAnsi="Cambria" w:eastAsia="Arial" w:cs="Arial"/>
          <w:i w:val="0"/>
          <w:snapToGrid w:val="0"/>
          <w:color w:val="000000"/>
          <w:kern w:val="0"/>
          <w:sz w:val="22"/>
          <w:szCs w:val="21"/>
          <w:lang w:val="en-GB" w:eastAsia="en-US" w:bidi="ar-SA"/>
        </w:rPr>
      </w:pPr>
      <w:r>
        <w:rPr>
          <w:rFonts w:hint="eastAsia" w:ascii="Cambria" w:hAnsi="Cambria" w:eastAsia="Arial" w:cs="Arial"/>
          <w:i w:val="0"/>
          <w:snapToGrid w:val="0"/>
          <w:color w:val="000000"/>
          <w:kern w:val="0"/>
          <w:sz w:val="22"/>
          <w:szCs w:val="21"/>
          <w:lang w:val="en-GB" w:eastAsia="en-US" w:bidi="ar-SA"/>
        </w:rPr>
        <w:t>Note. N = 678. Percentages may not sum to 100 because of rounding.</w:t>
      </w:r>
    </w:p>
    <w:p w14:paraId="73C5522B">
      <w:pPr>
        <w:pStyle w:val="3"/>
        <w:numPr>
          <w:ilvl w:val="1"/>
          <w:numId w:val="1"/>
        </w:numPr>
        <w:spacing w:before="0"/>
        <w:ind w:left="540" w:leftChars="0" w:hanging="540" w:firstLineChars="0"/>
        <w:rPr>
          <w:rFonts w:hint="eastAsia" w:ascii="Cambria" w:hAnsi="Cambria" w:eastAsia="宋体" w:cs="Times New Roman"/>
          <w:color w:val="auto"/>
          <w:sz w:val="22"/>
          <w:szCs w:val="22"/>
          <w:lang w:val="en-US" w:eastAsia="zh-CN"/>
        </w:rPr>
      </w:pPr>
      <w:r>
        <w:rPr>
          <w:rFonts w:hint="eastAsia" w:ascii="Cambria" w:hAnsi="Cambria" w:eastAsia="宋体" w:cs="Times New Roman"/>
          <w:color w:val="auto"/>
          <w:sz w:val="22"/>
          <w:szCs w:val="22"/>
          <w:lang w:val="en-US" w:eastAsia="zh-CN"/>
        </w:rPr>
        <w:t xml:space="preserve"> Measure</w:t>
      </w:r>
    </w:p>
    <w:p w14:paraId="16AD783F">
      <w:pPr>
        <w:rPr>
          <w:rFonts w:hint="eastAsia"/>
          <w:lang w:val="en-US" w:eastAsia="zh-CN"/>
        </w:rPr>
      </w:pPr>
    </w:p>
    <w:p w14:paraId="3D0A463F">
      <w:pPr>
        <w:outlineLvl w:val="2"/>
        <w:rPr>
          <w:rFonts w:hint="eastAsia"/>
          <w:lang w:val="en-US" w:eastAsia="zh-CN"/>
        </w:rPr>
      </w:pPr>
      <w:r>
        <w:rPr>
          <w:rFonts w:hint="eastAsia" w:ascii="Cambria" w:hAnsi="Cambria" w:eastAsia="宋体" w:cs="Times New Roman"/>
          <w:i/>
          <w:color w:val="auto"/>
          <w:sz w:val="22"/>
          <w:lang w:val="en-US" w:eastAsia="zh-CN"/>
        </w:rPr>
        <w:t>3</w:t>
      </w:r>
      <w:r>
        <w:rPr>
          <w:rFonts w:ascii="Cambria" w:hAnsi="Cambria" w:cs="Times New Roman"/>
          <w:i/>
          <w:color w:val="auto"/>
          <w:sz w:val="22"/>
          <w:lang w:val="en-GB"/>
        </w:rPr>
        <w:t>.</w:t>
      </w:r>
      <w:r>
        <w:rPr>
          <w:rFonts w:hint="eastAsia" w:ascii="Cambria" w:hAnsi="Cambria" w:eastAsia="宋体" w:cs="Times New Roman"/>
          <w:i/>
          <w:color w:val="auto"/>
          <w:sz w:val="22"/>
          <w:lang w:val="en-US" w:eastAsia="zh-CN"/>
        </w:rPr>
        <w:t>2</w:t>
      </w:r>
      <w:r>
        <w:rPr>
          <w:rFonts w:ascii="Cambria" w:hAnsi="Cambria" w:cs="Times New Roman"/>
          <w:i/>
          <w:color w:val="auto"/>
          <w:sz w:val="22"/>
          <w:lang w:val="en-GB"/>
        </w:rPr>
        <w:t xml:space="preserve">.1 </w:t>
      </w:r>
      <w:r>
        <w:rPr>
          <w:rFonts w:ascii="Cambria" w:hAnsi="Cambria" w:cs="Times New Roman"/>
          <w:i/>
          <w:color w:val="auto"/>
          <w:sz w:val="22"/>
          <w:lang w:val="en-GB"/>
        </w:rPr>
        <w:tab/>
      </w:r>
      <w:r>
        <w:rPr>
          <w:rFonts w:hint="eastAsia" w:ascii="Cambria" w:hAnsi="Cambria" w:cs="Times New Roman"/>
          <w:i/>
          <w:color w:val="auto"/>
          <w:sz w:val="22"/>
          <w:lang w:val="en-GB"/>
        </w:rPr>
        <w:t>Emotional intelligence</w:t>
      </w:r>
      <w:r>
        <w:rPr>
          <w:rFonts w:ascii="Cambria" w:hAnsi="Cambria" w:cs="Times New Roman"/>
          <w:b w:val="0"/>
          <w:i/>
          <w:color w:val="auto"/>
          <w:sz w:val="22"/>
          <w:lang w:val="en-GB"/>
        </w:rPr>
        <w:t xml:space="preserve"> </w:t>
      </w:r>
    </w:p>
    <w:p w14:paraId="4DAADFFB"/>
    <w:p w14:paraId="4B73D1A2">
      <w:pPr>
        <w:spacing w:after="0"/>
        <w:jc w:val="both"/>
        <w:rPr>
          <w:rFonts w:hint="eastAsia" w:ascii="Cambria" w:hAnsi="Cambria"/>
          <w:sz w:val="22"/>
          <w:lang w:val="en-GB"/>
        </w:rPr>
      </w:pPr>
      <w:r>
        <w:rPr>
          <w:rFonts w:hint="eastAsia" w:ascii="Cambria" w:hAnsi="Cambria"/>
          <w:sz w:val="22"/>
          <w:lang w:val="en-GB"/>
        </w:rPr>
        <w:t>Emotional intelligence was measured using the 33-item Chinese version of the Schutte Self-Report Emotional Intelligence Test (SSEIT; Schutte et al., 1998; Wang, 20</w:t>
      </w:r>
      <w:r>
        <w:rPr>
          <w:rFonts w:hint="eastAsia" w:ascii="Cambria" w:hAnsi="Cambria"/>
          <w:sz w:val="22"/>
          <w:lang w:val="en-US" w:eastAsia="zh-CN"/>
        </w:rPr>
        <w:t>0</w:t>
      </w:r>
      <w:r>
        <w:rPr>
          <w:rFonts w:hint="eastAsia" w:ascii="Cambria" w:hAnsi="Cambria"/>
          <w:sz w:val="22"/>
          <w:lang w:val="en-GB"/>
        </w:rPr>
        <w:t>2). Schutte et al. (2009) recommended using the total score as the primary analytic measure. Accordingly, emotional intelligence was operationalized in this study as overall self-reported emotional functioning rather than as a set of separately modeled subdimensions. All items were rated on a five-point Likert scale. Items 5, 28, and 33 were reverse-scored. For ease of interpretation, responses were averaged after reverse scoring, producing scores ranging from 1 to 5, with higher scores indicating higher levels of self-reported emotional intelligence. The published Chinese adaptation was administered without further modification to the item wording.</w:t>
      </w:r>
    </w:p>
    <w:p w14:paraId="3CFA0024">
      <w:pPr>
        <w:rPr>
          <w:rFonts w:hint="eastAsia"/>
          <w:lang w:val="en-US" w:eastAsia="zh-CN"/>
        </w:rPr>
      </w:pPr>
    </w:p>
    <w:p w14:paraId="44FAD922">
      <w:pPr>
        <w:outlineLvl w:val="2"/>
        <w:rPr>
          <w:rFonts w:hint="eastAsia" w:ascii="Cambria" w:hAnsi="Cambria" w:eastAsia="宋体" w:cs="Times New Roman"/>
          <w:i/>
          <w:color w:val="auto"/>
          <w:sz w:val="22"/>
          <w:lang w:val="en-US" w:eastAsia="zh-CN"/>
        </w:rPr>
      </w:pPr>
      <w:r>
        <w:rPr>
          <w:rFonts w:hint="eastAsia" w:ascii="Cambria" w:hAnsi="Cambria" w:eastAsia="宋体" w:cs="Times New Roman"/>
          <w:i/>
          <w:color w:val="auto"/>
          <w:sz w:val="22"/>
          <w:lang w:val="en-US" w:eastAsia="zh-CN"/>
        </w:rPr>
        <w:t>3</w:t>
      </w:r>
      <w:r>
        <w:rPr>
          <w:rFonts w:hint="eastAsia" w:ascii="Cambria" w:hAnsi="Cambria" w:eastAsia="宋体" w:cs="Times New Roman"/>
          <w:i/>
          <w:color w:val="auto"/>
          <w:sz w:val="22"/>
          <w:lang w:val="en-GB" w:eastAsia="zh-CN"/>
        </w:rPr>
        <w:t>.</w:t>
      </w:r>
      <w:r>
        <w:rPr>
          <w:rFonts w:hint="eastAsia" w:ascii="Cambria" w:hAnsi="Cambria" w:eastAsia="宋体" w:cs="Times New Roman"/>
          <w:i/>
          <w:color w:val="auto"/>
          <w:sz w:val="22"/>
          <w:lang w:val="en-US" w:eastAsia="zh-CN"/>
        </w:rPr>
        <w:t>2</w:t>
      </w:r>
      <w:r>
        <w:rPr>
          <w:rFonts w:hint="eastAsia" w:ascii="Cambria" w:hAnsi="Cambria" w:eastAsia="宋体" w:cs="Times New Roman"/>
          <w:i/>
          <w:color w:val="auto"/>
          <w:sz w:val="22"/>
          <w:lang w:val="en-GB" w:eastAsia="zh-CN"/>
        </w:rPr>
        <w:t>.</w:t>
      </w:r>
      <w:r>
        <w:rPr>
          <w:rFonts w:hint="eastAsia" w:ascii="Cambria" w:hAnsi="Cambria" w:eastAsia="宋体" w:cs="Times New Roman"/>
          <w:i/>
          <w:color w:val="auto"/>
          <w:sz w:val="22"/>
          <w:lang w:val="en-US" w:eastAsia="zh-CN"/>
        </w:rPr>
        <w:t>2</w:t>
      </w:r>
      <w:r>
        <w:rPr>
          <w:rFonts w:hint="eastAsia" w:ascii="Cambria" w:hAnsi="Cambria" w:eastAsia="宋体" w:cs="Times New Roman"/>
          <w:i/>
          <w:color w:val="auto"/>
          <w:sz w:val="22"/>
          <w:lang w:val="en-GB" w:eastAsia="zh-CN"/>
        </w:rPr>
        <w:t xml:space="preserve"> </w:t>
      </w:r>
      <w:r>
        <w:rPr>
          <w:rFonts w:hint="eastAsia" w:ascii="Cambria" w:hAnsi="Cambria" w:eastAsia="宋体" w:cs="Times New Roman"/>
          <w:i/>
          <w:color w:val="auto"/>
          <w:sz w:val="22"/>
          <w:lang w:val="en-GB" w:eastAsia="zh-CN"/>
        </w:rPr>
        <w:tab/>
      </w:r>
      <w:r>
        <w:rPr>
          <w:rFonts w:hint="eastAsia" w:ascii="Cambria" w:hAnsi="Cambria" w:eastAsia="宋体" w:cs="Times New Roman"/>
          <w:i/>
          <w:color w:val="auto"/>
          <w:sz w:val="22"/>
          <w:lang w:val="en-GB" w:eastAsia="zh-CN"/>
        </w:rPr>
        <w:t>Crystallizing</w:t>
      </w:r>
    </w:p>
    <w:p w14:paraId="5D1663E2">
      <w:pPr>
        <w:rPr>
          <w:rFonts w:hint="eastAsia"/>
          <w:lang w:val="en-US" w:eastAsia="zh-CN"/>
        </w:rPr>
      </w:pPr>
    </w:p>
    <w:p w14:paraId="6B2D752B">
      <w:pPr>
        <w:spacing w:after="0"/>
        <w:jc w:val="both"/>
        <w:rPr>
          <w:rFonts w:hint="eastAsia" w:ascii="Cambria" w:hAnsi="Cambria"/>
          <w:sz w:val="22"/>
          <w:lang w:val="en-GB"/>
        </w:rPr>
      </w:pPr>
      <w:r>
        <w:rPr>
          <w:rFonts w:hint="eastAsia" w:ascii="Cambria" w:hAnsi="Cambria"/>
          <w:sz w:val="22"/>
          <w:lang w:val="en-GB"/>
        </w:rPr>
        <w:t>Crystallizing was measured with the six-item crystallizing subscale of the Chinese Student Career Construction Inventory (SCCI; Savickas et al., 2018; Jiang et al., 2022). The SCCI uses a five-category developmental response format rather than an agreement scale. The subscale assesses progress in clarifying vocational interests, abilities, values, and career goals.</w:t>
      </w:r>
    </w:p>
    <w:p w14:paraId="0EE23279">
      <w:pPr>
        <w:spacing w:after="0"/>
        <w:jc w:val="both"/>
        <w:rPr>
          <w:rFonts w:hint="eastAsia" w:ascii="Cambria" w:hAnsi="Cambria"/>
          <w:sz w:val="22"/>
          <w:lang w:val="en-GB"/>
        </w:rPr>
      </w:pPr>
    </w:p>
    <w:p w14:paraId="7BAA2A36">
      <w:pPr>
        <w:outlineLvl w:val="2"/>
        <w:rPr>
          <w:rFonts w:hint="eastAsia" w:ascii="Cambria" w:hAnsi="Cambria" w:eastAsia="宋体" w:cs="Times New Roman"/>
          <w:i/>
          <w:color w:val="auto"/>
          <w:sz w:val="22"/>
          <w:lang w:val="en-US" w:eastAsia="zh-CN"/>
        </w:rPr>
      </w:pPr>
      <w:r>
        <w:rPr>
          <w:rFonts w:hint="eastAsia" w:ascii="Cambria" w:hAnsi="Cambria" w:eastAsia="宋体" w:cs="Times New Roman"/>
          <w:i/>
          <w:color w:val="auto"/>
          <w:sz w:val="22"/>
          <w:lang w:val="en-US" w:eastAsia="zh-CN"/>
        </w:rPr>
        <w:t>3</w:t>
      </w:r>
      <w:r>
        <w:rPr>
          <w:rFonts w:hint="eastAsia" w:ascii="Cambria" w:hAnsi="Cambria" w:eastAsia="宋体" w:cs="Times New Roman"/>
          <w:i/>
          <w:color w:val="auto"/>
          <w:sz w:val="22"/>
          <w:lang w:val="en-GB" w:eastAsia="zh-CN"/>
        </w:rPr>
        <w:t>.</w:t>
      </w:r>
      <w:r>
        <w:rPr>
          <w:rFonts w:hint="eastAsia" w:ascii="Cambria" w:hAnsi="Cambria" w:eastAsia="宋体" w:cs="Times New Roman"/>
          <w:i/>
          <w:color w:val="auto"/>
          <w:sz w:val="22"/>
          <w:lang w:val="en-US" w:eastAsia="zh-CN"/>
        </w:rPr>
        <w:t>2</w:t>
      </w:r>
      <w:r>
        <w:rPr>
          <w:rFonts w:hint="eastAsia" w:ascii="Cambria" w:hAnsi="Cambria" w:eastAsia="宋体" w:cs="Times New Roman"/>
          <w:i/>
          <w:color w:val="auto"/>
          <w:sz w:val="22"/>
          <w:lang w:val="en-GB" w:eastAsia="zh-CN"/>
        </w:rPr>
        <w:t>.</w:t>
      </w:r>
      <w:r>
        <w:rPr>
          <w:rFonts w:hint="eastAsia" w:ascii="Cambria" w:hAnsi="Cambria" w:eastAsia="宋体" w:cs="Times New Roman"/>
          <w:i/>
          <w:color w:val="auto"/>
          <w:sz w:val="22"/>
          <w:lang w:val="en-US" w:eastAsia="zh-CN"/>
        </w:rPr>
        <w:t>3</w:t>
      </w:r>
      <w:r>
        <w:rPr>
          <w:rFonts w:hint="eastAsia" w:ascii="Cambria" w:hAnsi="Cambria" w:eastAsia="宋体" w:cs="Times New Roman"/>
          <w:i/>
          <w:color w:val="auto"/>
          <w:sz w:val="22"/>
          <w:lang w:val="en-GB" w:eastAsia="zh-CN"/>
        </w:rPr>
        <w:t xml:space="preserve"> </w:t>
      </w:r>
      <w:r>
        <w:rPr>
          <w:rFonts w:hint="eastAsia" w:ascii="Cambria" w:hAnsi="Cambria" w:eastAsia="宋体" w:cs="Times New Roman"/>
          <w:i/>
          <w:color w:val="auto"/>
          <w:sz w:val="22"/>
          <w:lang w:val="en-GB" w:eastAsia="zh-CN"/>
        </w:rPr>
        <w:tab/>
      </w:r>
      <w:r>
        <w:rPr>
          <w:rFonts w:hint="eastAsia" w:ascii="Cambria" w:hAnsi="Cambria" w:eastAsia="宋体" w:cs="Times New Roman"/>
          <w:i/>
          <w:color w:val="auto"/>
          <w:sz w:val="22"/>
          <w:lang w:val="en-US" w:eastAsia="zh-CN"/>
        </w:rPr>
        <w:t>Vocational identity</w:t>
      </w:r>
    </w:p>
    <w:p w14:paraId="7D50F372">
      <w:pPr>
        <w:numPr>
          <w:ilvl w:val="0"/>
          <w:numId w:val="0"/>
        </w:numPr>
        <w:ind w:leftChars="0"/>
      </w:pPr>
    </w:p>
    <w:p w14:paraId="79CE8712">
      <w:pPr>
        <w:spacing w:after="0"/>
        <w:jc w:val="both"/>
        <w:rPr>
          <w:rFonts w:hint="eastAsia" w:ascii="Cambria" w:hAnsi="Cambria"/>
          <w:sz w:val="22"/>
          <w:lang w:val="en-GB"/>
        </w:rPr>
      </w:pPr>
      <w:r>
        <w:rPr>
          <w:rFonts w:hint="eastAsia" w:ascii="Cambria" w:hAnsi="Cambria"/>
          <w:sz w:val="22"/>
          <w:lang w:val="en-US" w:eastAsia="zh-CN"/>
        </w:rPr>
        <w:t>V</w:t>
      </w:r>
      <w:r>
        <w:rPr>
          <w:rFonts w:hint="eastAsia" w:ascii="Cambria" w:hAnsi="Cambria"/>
          <w:sz w:val="22"/>
          <w:lang w:val="en-GB" w:eastAsia="zh-CN"/>
        </w:rPr>
        <w:t>ocational identity among trainee teachers</w:t>
      </w:r>
      <w:r>
        <w:rPr>
          <w:rFonts w:hint="eastAsia" w:ascii="Cambria" w:hAnsi="Cambria"/>
          <w:sz w:val="22"/>
          <w:lang w:val="en-GB"/>
        </w:rPr>
        <w:t xml:space="preserve"> was operationalized as a single reflective construct using all 30 items of the Chinese Vocational Identity Status Assessment (VISA; Porfeli et al., 2011; Zhang et al., 2019). The items were not contextualized specifically to teaching. Accordingly, the construct represents general vocational identity among students enrolled in teacher-education programmes and should not be interpreted as teacher professional identity or intention to enter teaching. Because the original VISA distinguishes commitment, exploration, and reconsideration, treating all items as a single reflective construct is specific to the original analytical model and requires cautious interpretation.</w:t>
      </w:r>
    </w:p>
    <w:p w14:paraId="2242C56D">
      <w:pPr>
        <w:numPr>
          <w:ilvl w:val="0"/>
          <w:numId w:val="0"/>
        </w:numPr>
        <w:ind w:leftChars="0"/>
      </w:pPr>
    </w:p>
    <w:p w14:paraId="5ED06304">
      <w:pPr>
        <w:numPr>
          <w:ilvl w:val="0"/>
          <w:numId w:val="0"/>
        </w:numPr>
        <w:ind w:leftChars="0"/>
      </w:pPr>
    </w:p>
    <w:p w14:paraId="11F38201">
      <w:pPr>
        <w:pStyle w:val="3"/>
        <w:numPr>
          <w:ilvl w:val="1"/>
          <w:numId w:val="1"/>
        </w:numPr>
        <w:spacing w:before="0"/>
        <w:ind w:left="540" w:leftChars="0" w:hanging="540" w:firstLineChars="0"/>
        <w:rPr>
          <w:rFonts w:hint="eastAsia" w:ascii="Cambria" w:hAnsi="Cambria" w:eastAsia="宋体" w:cs="Times New Roman"/>
          <w:color w:val="auto"/>
          <w:sz w:val="22"/>
          <w:szCs w:val="22"/>
          <w:lang w:val="en-US" w:eastAsia="zh-CN"/>
        </w:rPr>
      </w:pPr>
      <w:r>
        <w:rPr>
          <w:rFonts w:hint="eastAsia" w:ascii="Cambria" w:hAnsi="Cambria" w:eastAsia="宋体" w:cs="Times New Roman"/>
          <w:color w:val="auto"/>
          <w:sz w:val="22"/>
          <w:szCs w:val="22"/>
          <w:lang w:val="en-US" w:eastAsia="zh-CN"/>
        </w:rPr>
        <w:t xml:space="preserve"> Procedure and ethics</w:t>
      </w:r>
    </w:p>
    <w:p w14:paraId="080D68B0">
      <w:pPr>
        <w:rPr>
          <w:rFonts w:hint="eastAsia"/>
          <w:lang w:val="en-US" w:eastAsia="zh-CN"/>
        </w:rPr>
      </w:pPr>
    </w:p>
    <w:p w14:paraId="6B0435F6">
      <w:pPr>
        <w:spacing w:after="0"/>
        <w:jc w:val="both"/>
        <w:rPr>
          <w:rFonts w:hint="eastAsia" w:ascii="Cambria" w:hAnsi="Cambria"/>
          <w:sz w:val="22"/>
          <w:lang w:val="en-US" w:eastAsia="zh-CN"/>
        </w:rPr>
      </w:pPr>
      <w:r>
        <w:rPr>
          <w:rFonts w:hint="eastAsia" w:ascii="Cambria" w:hAnsi="Cambria"/>
          <w:sz w:val="22"/>
          <w:lang w:val="en-US" w:eastAsia="zh-CN"/>
        </w:rPr>
        <w:t>Recruitment was institutionally facilitated through authorised class and university communication channels. Prospective participants accessed an anonymous questionnaire hosted on Wenjuanxing and first viewed information about the study purpose, procedures, voluntary participation, confidentiality, and the right to discontinue before submission. Only eligible students who provided electronic informed consent proceeded to the questionnaire. Institutional ethics approval was obtained before pilot testing and main data collection, and all data were analysed and reported in aggregate form.</w:t>
      </w:r>
    </w:p>
    <w:p w14:paraId="74CF6C9C">
      <w:pPr>
        <w:spacing w:after="0"/>
        <w:jc w:val="both"/>
        <w:rPr>
          <w:rFonts w:hint="eastAsia" w:ascii="Cambria" w:hAnsi="Cambria"/>
          <w:sz w:val="22"/>
          <w:lang w:val="en-US" w:eastAsia="zh-CN"/>
        </w:rPr>
      </w:pPr>
      <w:r>
        <w:rPr>
          <w:rFonts w:hint="eastAsia" w:ascii="Cambria" w:hAnsi="Cambria"/>
          <w:sz w:val="22"/>
          <w:lang w:val="en-US" w:eastAsia="zh-CN"/>
        </w:rPr>
        <w:t>The study received institutional ethics approval before pilot testing and main data collection. Participation was voluntary and anonymous, all participants were adults, and informed consent was obtained electronically before the questionnaire began.</w:t>
      </w:r>
    </w:p>
    <w:p w14:paraId="14D02510">
      <w:pPr>
        <w:numPr>
          <w:ilvl w:val="0"/>
          <w:numId w:val="0"/>
        </w:numPr>
        <w:ind w:leftChars="0"/>
      </w:pPr>
    </w:p>
    <w:p w14:paraId="4A367D61">
      <w:pPr>
        <w:numPr>
          <w:ilvl w:val="0"/>
          <w:numId w:val="0"/>
        </w:numPr>
        <w:ind w:leftChars="0"/>
      </w:pPr>
    </w:p>
    <w:p w14:paraId="380878B1">
      <w:pPr>
        <w:pStyle w:val="3"/>
        <w:numPr>
          <w:ilvl w:val="1"/>
          <w:numId w:val="1"/>
        </w:numPr>
        <w:spacing w:before="0"/>
        <w:ind w:left="540" w:leftChars="0" w:hanging="540" w:firstLineChars="0"/>
        <w:rPr>
          <w:rFonts w:hint="eastAsia" w:ascii="Cambria" w:hAnsi="Cambria" w:eastAsia="宋体" w:cs="Times New Roman"/>
          <w:color w:val="auto"/>
          <w:sz w:val="22"/>
          <w:szCs w:val="22"/>
          <w:lang w:val="en-US" w:eastAsia="zh-CN"/>
        </w:rPr>
      </w:pPr>
      <w:r>
        <w:rPr>
          <w:rFonts w:hint="eastAsia" w:ascii="Cambria" w:hAnsi="Cambria" w:eastAsia="宋体" w:cs="Times New Roman"/>
          <w:color w:val="auto"/>
          <w:sz w:val="22"/>
          <w:szCs w:val="22"/>
          <w:lang w:val="en-US" w:eastAsia="zh-CN"/>
        </w:rPr>
        <w:t xml:space="preserve"> Data analysis</w:t>
      </w:r>
    </w:p>
    <w:p w14:paraId="2F539316">
      <w:pPr>
        <w:rPr>
          <w:rFonts w:hint="eastAsia"/>
          <w:lang w:val="en-US" w:eastAsia="zh-CN"/>
        </w:rPr>
      </w:pPr>
    </w:p>
    <w:p w14:paraId="769A8BFF">
      <w:pPr>
        <w:spacing w:after="0"/>
        <w:jc w:val="both"/>
        <w:rPr>
          <w:rFonts w:hint="eastAsia" w:ascii="Cambria" w:hAnsi="Cambria"/>
          <w:sz w:val="22"/>
          <w:lang w:val="en-US" w:eastAsia="zh-CN"/>
        </w:rPr>
      </w:pPr>
      <w:r>
        <w:rPr>
          <w:rFonts w:hint="eastAsia" w:ascii="Cambria" w:hAnsi="Cambria"/>
          <w:sz w:val="22"/>
          <w:lang w:val="en-US" w:eastAsia="zh-CN"/>
        </w:rPr>
        <w:t>PLS-SEM was conducted using SmartPLS 4. It was selected to preserve the originally specified parallel-mediation model, which contained four simultaneous career construction responses and a relatively large set of indicators. The analytical objective was to explain variance in the endogenous constructs and estimate the focal specific indirect association. Given the reflective measurement specifications, CB-SEM remains a reasonable alternative for future robustness assessment.</w:t>
      </w:r>
    </w:p>
    <w:p w14:paraId="46203F39">
      <w:pPr>
        <w:spacing w:after="0"/>
        <w:jc w:val="both"/>
        <w:rPr>
          <w:rFonts w:hint="eastAsia" w:ascii="Cambria" w:hAnsi="Cambria"/>
          <w:sz w:val="22"/>
          <w:lang w:val="en-US" w:eastAsia="zh-CN"/>
        </w:rPr>
      </w:pPr>
      <w:r>
        <w:rPr>
          <w:rFonts w:hint="eastAsia" w:ascii="Cambria" w:hAnsi="Cambria"/>
          <w:sz w:val="22"/>
          <w:lang w:val="en-US" w:eastAsia="zh-CN"/>
        </w:rPr>
        <w:t>Following the guidelines of Hair et al. (2022), the measurement model was evaluated based on indicator loadings, Cronbach's α, rho_A, composite reliability, average variance extracted (AVE), the heterotrait–monotrait ratio (HTMT), and supplementary tests of discriminant validity. Full collinearity variance inflation factors (VIFs) were used as a statistical diagnostic for potential common method bias. The structural model was assessed using collinearity diagnostics, R², f² effect sizes, predictive relevance, standardised path coefficients, and nonparametric bootstrapping with 5,000 subsamples and two-tailed tests at α = .05 .</w:t>
      </w:r>
    </w:p>
    <w:p w14:paraId="75A02313">
      <w:pPr>
        <w:spacing w:after="0"/>
        <w:jc w:val="both"/>
        <w:rPr>
          <w:rFonts w:hint="eastAsia" w:ascii="Cambria" w:hAnsi="Cambria"/>
          <w:sz w:val="22"/>
          <w:lang w:val="en-US" w:eastAsia="zh-CN"/>
        </w:rPr>
      </w:pPr>
      <w:r>
        <w:rPr>
          <w:rFonts w:hint="eastAsia" w:ascii="Cambria" w:hAnsi="Cambria"/>
          <w:sz w:val="22"/>
          <w:lang w:val="en-US" w:eastAsia="zh-CN"/>
        </w:rPr>
        <w:t>The original dataset and complete analytical records were available to the author, and the complete measurement and structural models were re-estimated for the present manuscript. The primary structural model specified emotional intelligence (EI) as the exogenous construct; crystallizing, exploring, deciding, and preparing as four simultaneous parallel mediators; and vocational identity (VI) as the outcome. Although the present article focuses on the indirect association through crystallizing, all four mediators were retained in the estimated model. Accordingly, the CC1-to-VI coefficient was estimated while controlling for EI and the other three career construction responses, whereas the EI-to-VI coefficient was estimated while controlling for all four mediators. The reported indirect association therefore represents the specific indirect effect of EI on VI through crystallizing within the full parallel-mediation model, rather than an indirect effect estimated from a reduced three-construct model.</w:t>
      </w:r>
    </w:p>
    <w:p w14:paraId="390B4BE3">
      <w:pPr>
        <w:numPr>
          <w:ilvl w:val="0"/>
          <w:numId w:val="0"/>
        </w:numPr>
        <w:ind w:leftChars="0"/>
      </w:pPr>
    </w:p>
    <w:p w14:paraId="49208C8E">
      <w:pPr>
        <w:numPr>
          <w:ilvl w:val="0"/>
          <w:numId w:val="0"/>
        </w:numPr>
        <w:ind w:leftChars="0"/>
      </w:pPr>
    </w:p>
    <w:p w14:paraId="2CBFC74E">
      <w:pPr>
        <w:pStyle w:val="2"/>
        <w:numPr>
          <w:ilvl w:val="0"/>
          <w:numId w:val="1"/>
        </w:numPr>
        <w:spacing w:before="0" w:after="0"/>
        <w:rPr>
          <w:rFonts w:hint="eastAsia" w:ascii="Cambria" w:hAnsi="Cambria"/>
          <w:szCs w:val="22"/>
          <w:lang w:val="en-GB"/>
        </w:rPr>
      </w:pPr>
      <w:r>
        <w:rPr>
          <w:rFonts w:hint="eastAsia" w:ascii="Cambria" w:hAnsi="Cambria"/>
          <w:szCs w:val="22"/>
        </w:rPr>
        <w:t>RESULTS AND DISCUSSION</w:t>
      </w:r>
      <w:r>
        <w:rPr>
          <w:rFonts w:ascii="Cambria" w:hAnsi="Cambria"/>
          <w:szCs w:val="22"/>
        </w:rPr>
        <w:t xml:space="preserve"> </w:t>
      </w:r>
    </w:p>
    <w:p w14:paraId="56877D98">
      <w:pPr>
        <w:numPr>
          <w:ilvl w:val="0"/>
          <w:numId w:val="0"/>
        </w:numPr>
        <w:ind w:leftChars="0"/>
      </w:pPr>
    </w:p>
    <w:p w14:paraId="42A94B5D">
      <w:pPr>
        <w:numPr>
          <w:ilvl w:val="0"/>
          <w:numId w:val="0"/>
        </w:numPr>
        <w:ind w:leftChars="0"/>
        <w:outlineLvl w:val="1"/>
        <w:rPr>
          <w:rFonts w:hint="eastAsia" w:ascii="Cambria" w:hAnsi="Cambria" w:eastAsia="宋体" w:cs="Times New Roman"/>
          <w:b/>
          <w:bCs/>
          <w:snapToGrid w:val="0"/>
          <w:color w:val="auto"/>
          <w:kern w:val="0"/>
          <w:sz w:val="22"/>
          <w:szCs w:val="22"/>
          <w:lang w:val="en-US" w:eastAsia="zh-CN" w:bidi="ar-SA"/>
        </w:rPr>
      </w:pPr>
      <w:r>
        <w:rPr>
          <w:rFonts w:hint="eastAsia" w:ascii="Cambria" w:hAnsi="Cambria" w:eastAsia="宋体" w:cs="Times New Roman"/>
          <w:b/>
          <w:bCs/>
          <w:snapToGrid w:val="0"/>
          <w:color w:val="auto"/>
          <w:kern w:val="0"/>
          <w:sz w:val="22"/>
          <w:szCs w:val="22"/>
          <w:lang w:val="en-US" w:eastAsia="zh-CN" w:bidi="ar-SA"/>
        </w:rPr>
        <w:t>4.1</w:t>
      </w:r>
      <w:r>
        <w:rPr>
          <w:rFonts w:hint="eastAsia" w:ascii="Cambria" w:hAnsi="Cambria" w:eastAsia="宋体" w:cs="Times New Roman"/>
          <w:b/>
          <w:bCs/>
          <w:snapToGrid w:val="0"/>
          <w:color w:val="auto"/>
          <w:kern w:val="0"/>
          <w:sz w:val="22"/>
          <w:szCs w:val="22"/>
          <w:lang w:val="en-US" w:eastAsia="zh-CN" w:bidi="ar-SA"/>
        </w:rPr>
        <w:tab/>
      </w:r>
      <w:r>
        <w:rPr>
          <w:rFonts w:hint="eastAsia" w:ascii="Cambria" w:hAnsi="Cambria" w:eastAsia="宋体" w:cs="Times New Roman"/>
          <w:b/>
          <w:bCs/>
          <w:snapToGrid w:val="0"/>
          <w:color w:val="auto"/>
          <w:kern w:val="0"/>
          <w:sz w:val="22"/>
          <w:szCs w:val="22"/>
          <w:lang w:val="en-US" w:eastAsia="zh-CN" w:bidi="ar-SA"/>
        </w:rPr>
        <w:t>Descriptive statistics and measurement quality</w:t>
      </w:r>
    </w:p>
    <w:p w14:paraId="62408815">
      <w:pPr>
        <w:spacing w:after="0"/>
        <w:jc w:val="both"/>
        <w:rPr>
          <w:rFonts w:hint="eastAsia" w:ascii="Cambria" w:hAnsi="Cambria"/>
          <w:sz w:val="22"/>
          <w:lang w:val="en-US" w:eastAsia="zh-CN"/>
        </w:rPr>
      </w:pPr>
    </w:p>
    <w:p w14:paraId="717A9CB0">
      <w:pPr>
        <w:spacing w:after="0"/>
        <w:jc w:val="both"/>
        <w:rPr>
          <w:rFonts w:hint="eastAsia" w:ascii="Cambria" w:hAnsi="Cambria"/>
          <w:sz w:val="22"/>
          <w:lang w:val="en-US" w:eastAsia="zh-CN"/>
        </w:rPr>
      </w:pPr>
      <w:r>
        <w:rPr>
          <w:rFonts w:hint="eastAsia" w:ascii="Cambria" w:hAnsi="Cambria"/>
          <w:sz w:val="22"/>
          <w:lang w:val="en-US" w:eastAsia="zh-CN"/>
        </w:rPr>
        <w:t>The mean scores were 3.089 (SD = 1.019) for emotional intelligence, 3.039 (SD = 0.919) for crystallizing, and 3.372 (SD = 0.930) for vocational identity. Indicator loadings ranged from .777 to .831 for EI, .805 to .828 for CC1, and .776 to .817 for VI. Internal consistency and convergent validity met the criteria applied in the original analysis. HTMT values among the three focal constructs ranged from .312 to .465, supporting their empirical distinction. Full-collinearity VIF values for EI (1.845), CC1 (1.287), and VI (1.241) were below the 3.3 diagnostic threshold used in the study.</w:t>
      </w:r>
    </w:p>
    <w:p w14:paraId="72B1EB87">
      <w:pPr>
        <w:spacing w:after="0"/>
        <w:jc w:val="both"/>
        <w:rPr>
          <w:rFonts w:hint="eastAsia" w:ascii="Cambria" w:hAnsi="Cambria"/>
          <w:sz w:val="22"/>
          <w:lang w:val="en-US" w:eastAsia="zh-CN"/>
        </w:rPr>
      </w:pPr>
    </w:p>
    <w:p w14:paraId="69F1713A">
      <w:pPr>
        <w:pStyle w:val="5"/>
        <w:keepNext/>
        <w:spacing w:line="240" w:lineRule="auto"/>
        <w:jc w:val="center"/>
        <w:rPr>
          <w:rFonts w:hint="eastAsia" w:ascii="Cambria" w:hAnsi="Cambria" w:eastAsia="Arial" w:cs="Arial"/>
          <w:b w:val="0"/>
          <w:bCs w:val="0"/>
          <w:snapToGrid w:val="0"/>
          <w:color w:val="000000"/>
          <w:kern w:val="0"/>
          <w:sz w:val="22"/>
          <w:szCs w:val="21"/>
          <w:lang w:val="en-US" w:eastAsia="zh-CN" w:bidi="ar-SA"/>
        </w:rPr>
      </w:pPr>
      <w:r>
        <w:rPr>
          <w:rFonts w:hint="eastAsia" w:ascii="Cambria" w:hAnsi="Cambria" w:eastAsia="Arial" w:cs="Arial"/>
          <w:b w:val="0"/>
          <w:bCs w:val="0"/>
          <w:snapToGrid w:val="0"/>
          <w:color w:val="000000"/>
          <w:kern w:val="0"/>
          <w:sz w:val="22"/>
          <w:szCs w:val="21"/>
          <w:lang w:val="en-US" w:eastAsia="zh-CN" w:bidi="ar-SA"/>
        </w:rPr>
        <w:t>Table 2. Descriptive statistics and measurement-model evidence for the focal constructs</w:t>
      </w:r>
    </w:p>
    <w:p w14:paraId="6EA5A5C1">
      <w:pPr>
        <w:rPr>
          <w:rFonts w:hint="eastAsia"/>
          <w:lang w:val="en-US" w:eastAsia="zh-CN"/>
        </w:rPr>
      </w:pPr>
    </w:p>
    <w:tbl>
      <w:tblPr>
        <w:tblStyle w:val="9"/>
        <w:tblW w:w="4997" w:type="pct"/>
        <w:jc w:val="center"/>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Layout w:type="autofit"/>
        <w:tblCellMar>
          <w:top w:w="0" w:type="dxa"/>
          <w:left w:w="108" w:type="dxa"/>
          <w:bottom w:w="0" w:type="dxa"/>
          <w:right w:w="108" w:type="dxa"/>
        </w:tblCellMar>
      </w:tblPr>
      <w:tblGrid>
        <w:gridCol w:w="2590"/>
        <w:gridCol w:w="805"/>
        <w:gridCol w:w="805"/>
        <w:gridCol w:w="1724"/>
        <w:gridCol w:w="1365"/>
        <w:gridCol w:w="823"/>
        <w:gridCol w:w="666"/>
        <w:gridCol w:w="667"/>
      </w:tblGrid>
      <w:tr w14:paraId="7415A359">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tblHeader/>
          <w:jc w:val="center"/>
        </w:trPr>
        <w:tc>
          <w:tcPr>
            <w:tcW w:w="1409"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717725EF">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Construct</w:t>
            </w:r>
          </w:p>
        </w:tc>
        <w:tc>
          <w:tcPr>
            <w:tcW w:w="464"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0D8E7085">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M</w:t>
            </w:r>
          </w:p>
        </w:tc>
        <w:tc>
          <w:tcPr>
            <w:tcW w:w="464"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2B74B309">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SD</w:t>
            </w:r>
          </w:p>
        </w:tc>
        <w:tc>
          <w:tcPr>
            <w:tcW w:w="950"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6F3D7709">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Loading range</w:t>
            </w:r>
          </w:p>
        </w:tc>
        <w:tc>
          <w:tcPr>
            <w:tcW w:w="455"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709A10EC">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Cronbach's alpha</w:t>
            </w:r>
          </w:p>
        </w:tc>
        <w:tc>
          <w:tcPr>
            <w:tcW w:w="473"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167FDC51">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rho_A</w:t>
            </w:r>
          </w:p>
        </w:tc>
        <w:tc>
          <w:tcPr>
            <w:tcW w:w="391"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1708051F">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CR</w:t>
            </w:r>
          </w:p>
        </w:tc>
        <w:tc>
          <w:tcPr>
            <w:tcW w:w="391"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45412F74">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AVE</w:t>
            </w:r>
          </w:p>
        </w:tc>
      </w:tr>
      <w:tr w14:paraId="2B87106D">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jc w:val="center"/>
        </w:trPr>
        <w:tc>
          <w:tcPr>
            <w:tcW w:w="1409" w:type="pct"/>
            <w:tcBorders>
              <w:top w:val="single" w:color="auto" w:sz="4" w:space="0"/>
              <w:left w:val="nil"/>
              <w:bottom w:val="nil"/>
              <w:right w:val="nil"/>
            </w:tcBorders>
            <w:noWrap w:val="0"/>
            <w:tcMar>
              <w:top w:w="80" w:type="dxa"/>
              <w:left w:w="120" w:type="dxa"/>
              <w:bottom w:w="80" w:type="dxa"/>
              <w:right w:w="120" w:type="dxa"/>
            </w:tcMar>
            <w:vAlign w:val="center"/>
          </w:tcPr>
          <w:p w14:paraId="1EABAF64">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Emotional intelligence</w:t>
            </w:r>
          </w:p>
        </w:tc>
        <w:tc>
          <w:tcPr>
            <w:tcW w:w="464" w:type="pct"/>
            <w:tcBorders>
              <w:top w:val="single" w:color="auto" w:sz="4" w:space="0"/>
              <w:left w:val="nil"/>
              <w:bottom w:val="nil"/>
              <w:right w:val="nil"/>
            </w:tcBorders>
            <w:noWrap w:val="0"/>
            <w:tcMar>
              <w:top w:w="80" w:type="dxa"/>
              <w:left w:w="120" w:type="dxa"/>
              <w:bottom w:w="80" w:type="dxa"/>
              <w:right w:w="120" w:type="dxa"/>
            </w:tcMar>
            <w:vAlign w:val="center"/>
          </w:tcPr>
          <w:p w14:paraId="52F8FFEE">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3.089</w:t>
            </w:r>
          </w:p>
        </w:tc>
        <w:tc>
          <w:tcPr>
            <w:tcW w:w="464" w:type="pct"/>
            <w:tcBorders>
              <w:top w:val="single" w:color="auto" w:sz="4" w:space="0"/>
              <w:left w:val="nil"/>
              <w:bottom w:val="nil"/>
              <w:right w:val="nil"/>
            </w:tcBorders>
            <w:noWrap w:val="0"/>
            <w:tcMar>
              <w:top w:w="80" w:type="dxa"/>
              <w:left w:w="120" w:type="dxa"/>
              <w:bottom w:w="80" w:type="dxa"/>
              <w:right w:w="120" w:type="dxa"/>
            </w:tcMar>
            <w:vAlign w:val="center"/>
          </w:tcPr>
          <w:p w14:paraId="306C8283">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1.019</w:t>
            </w:r>
          </w:p>
        </w:tc>
        <w:tc>
          <w:tcPr>
            <w:tcW w:w="950" w:type="pct"/>
            <w:tcBorders>
              <w:top w:val="single" w:color="auto" w:sz="4" w:space="0"/>
              <w:left w:val="nil"/>
              <w:bottom w:val="nil"/>
              <w:right w:val="nil"/>
            </w:tcBorders>
            <w:noWrap w:val="0"/>
            <w:tcMar>
              <w:top w:w="80" w:type="dxa"/>
              <w:left w:w="120" w:type="dxa"/>
              <w:bottom w:w="80" w:type="dxa"/>
              <w:right w:w="120" w:type="dxa"/>
            </w:tcMar>
            <w:vAlign w:val="center"/>
          </w:tcPr>
          <w:p w14:paraId="20E0F298">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.777-.831</w:t>
            </w:r>
          </w:p>
        </w:tc>
        <w:tc>
          <w:tcPr>
            <w:tcW w:w="455" w:type="pct"/>
            <w:tcBorders>
              <w:top w:val="single" w:color="auto" w:sz="4" w:space="0"/>
              <w:left w:val="nil"/>
              <w:bottom w:val="nil"/>
              <w:right w:val="nil"/>
            </w:tcBorders>
            <w:noWrap w:val="0"/>
            <w:tcMar>
              <w:top w:w="80" w:type="dxa"/>
              <w:left w:w="120" w:type="dxa"/>
              <w:bottom w:w="80" w:type="dxa"/>
              <w:right w:w="120" w:type="dxa"/>
            </w:tcMar>
            <w:vAlign w:val="center"/>
          </w:tcPr>
          <w:p w14:paraId="640A5EA7">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.983</w:t>
            </w:r>
          </w:p>
        </w:tc>
        <w:tc>
          <w:tcPr>
            <w:tcW w:w="473" w:type="pct"/>
            <w:tcBorders>
              <w:top w:val="single" w:color="auto" w:sz="4" w:space="0"/>
              <w:left w:val="nil"/>
              <w:bottom w:val="nil"/>
              <w:right w:val="nil"/>
            </w:tcBorders>
            <w:noWrap w:val="0"/>
            <w:tcMar>
              <w:top w:w="80" w:type="dxa"/>
              <w:left w:w="120" w:type="dxa"/>
              <w:bottom w:w="80" w:type="dxa"/>
              <w:right w:w="120" w:type="dxa"/>
            </w:tcMar>
            <w:vAlign w:val="center"/>
          </w:tcPr>
          <w:p w14:paraId="2DEDFDB6">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.984</w:t>
            </w:r>
          </w:p>
        </w:tc>
        <w:tc>
          <w:tcPr>
            <w:tcW w:w="391" w:type="pct"/>
            <w:tcBorders>
              <w:top w:val="single" w:color="auto" w:sz="4" w:space="0"/>
              <w:left w:val="nil"/>
              <w:bottom w:val="nil"/>
              <w:right w:val="nil"/>
            </w:tcBorders>
            <w:noWrap w:val="0"/>
            <w:tcMar>
              <w:top w:w="80" w:type="dxa"/>
              <w:left w:w="120" w:type="dxa"/>
              <w:bottom w:w="80" w:type="dxa"/>
              <w:right w:w="120" w:type="dxa"/>
            </w:tcMar>
            <w:vAlign w:val="center"/>
          </w:tcPr>
          <w:p w14:paraId="68A6975C">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.984</w:t>
            </w:r>
          </w:p>
        </w:tc>
        <w:tc>
          <w:tcPr>
            <w:tcW w:w="391" w:type="pct"/>
            <w:tcBorders>
              <w:top w:val="single" w:color="auto" w:sz="4" w:space="0"/>
              <w:left w:val="nil"/>
              <w:bottom w:val="nil"/>
              <w:right w:val="nil"/>
            </w:tcBorders>
            <w:noWrap w:val="0"/>
            <w:tcMar>
              <w:top w:w="80" w:type="dxa"/>
              <w:left w:w="120" w:type="dxa"/>
              <w:bottom w:w="80" w:type="dxa"/>
              <w:right w:w="120" w:type="dxa"/>
            </w:tcMar>
            <w:vAlign w:val="center"/>
          </w:tcPr>
          <w:p w14:paraId="24DA54C3">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.654</w:t>
            </w:r>
          </w:p>
        </w:tc>
      </w:tr>
      <w:tr w14:paraId="0DF24A0E">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jc w:val="center"/>
        </w:trPr>
        <w:tc>
          <w:tcPr>
            <w:tcW w:w="1409" w:type="pct"/>
            <w:tcBorders>
              <w:top w:val="nil"/>
              <w:left w:val="nil"/>
              <w:bottom w:val="nil"/>
              <w:right w:val="nil"/>
            </w:tcBorders>
            <w:noWrap w:val="0"/>
            <w:tcMar>
              <w:top w:w="80" w:type="dxa"/>
              <w:left w:w="120" w:type="dxa"/>
              <w:bottom w:w="80" w:type="dxa"/>
              <w:right w:w="120" w:type="dxa"/>
            </w:tcMar>
            <w:vAlign w:val="center"/>
          </w:tcPr>
          <w:p w14:paraId="3B94CA55">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Crystallizing</w:t>
            </w:r>
          </w:p>
        </w:tc>
        <w:tc>
          <w:tcPr>
            <w:tcW w:w="464" w:type="pct"/>
            <w:tcBorders>
              <w:top w:val="nil"/>
              <w:left w:val="nil"/>
              <w:bottom w:val="nil"/>
              <w:right w:val="nil"/>
            </w:tcBorders>
            <w:noWrap w:val="0"/>
            <w:tcMar>
              <w:top w:w="80" w:type="dxa"/>
              <w:left w:w="120" w:type="dxa"/>
              <w:bottom w:w="80" w:type="dxa"/>
              <w:right w:w="120" w:type="dxa"/>
            </w:tcMar>
            <w:vAlign w:val="center"/>
          </w:tcPr>
          <w:p w14:paraId="534AEE58">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3.039</w:t>
            </w:r>
          </w:p>
        </w:tc>
        <w:tc>
          <w:tcPr>
            <w:tcW w:w="464" w:type="pct"/>
            <w:tcBorders>
              <w:top w:val="nil"/>
              <w:left w:val="nil"/>
              <w:bottom w:val="nil"/>
              <w:right w:val="nil"/>
            </w:tcBorders>
            <w:noWrap w:val="0"/>
            <w:tcMar>
              <w:top w:w="80" w:type="dxa"/>
              <w:left w:w="120" w:type="dxa"/>
              <w:bottom w:w="80" w:type="dxa"/>
              <w:right w:w="120" w:type="dxa"/>
            </w:tcMar>
            <w:vAlign w:val="center"/>
          </w:tcPr>
          <w:p w14:paraId="16225A52">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.919</w:t>
            </w:r>
          </w:p>
        </w:tc>
        <w:tc>
          <w:tcPr>
            <w:tcW w:w="950" w:type="pct"/>
            <w:tcBorders>
              <w:top w:val="nil"/>
              <w:left w:val="nil"/>
              <w:bottom w:val="nil"/>
              <w:right w:val="nil"/>
            </w:tcBorders>
            <w:noWrap w:val="0"/>
            <w:tcMar>
              <w:top w:w="80" w:type="dxa"/>
              <w:left w:w="120" w:type="dxa"/>
              <w:bottom w:w="80" w:type="dxa"/>
              <w:right w:w="120" w:type="dxa"/>
            </w:tcMar>
            <w:vAlign w:val="center"/>
          </w:tcPr>
          <w:p w14:paraId="2DBB0499">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.805-.828</w:t>
            </w:r>
          </w:p>
        </w:tc>
        <w:tc>
          <w:tcPr>
            <w:tcW w:w="455" w:type="pct"/>
            <w:tcBorders>
              <w:top w:val="nil"/>
              <w:left w:val="nil"/>
              <w:bottom w:val="nil"/>
              <w:right w:val="nil"/>
            </w:tcBorders>
            <w:noWrap w:val="0"/>
            <w:tcMar>
              <w:top w:w="80" w:type="dxa"/>
              <w:left w:w="120" w:type="dxa"/>
              <w:bottom w:w="80" w:type="dxa"/>
              <w:right w:w="120" w:type="dxa"/>
            </w:tcMar>
            <w:vAlign w:val="center"/>
          </w:tcPr>
          <w:p w14:paraId="51DB016D">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.900</w:t>
            </w:r>
          </w:p>
        </w:tc>
        <w:tc>
          <w:tcPr>
            <w:tcW w:w="473" w:type="pct"/>
            <w:tcBorders>
              <w:top w:val="nil"/>
              <w:left w:val="nil"/>
              <w:bottom w:val="nil"/>
              <w:right w:val="nil"/>
            </w:tcBorders>
            <w:noWrap w:val="0"/>
            <w:tcMar>
              <w:top w:w="80" w:type="dxa"/>
              <w:left w:w="120" w:type="dxa"/>
              <w:bottom w:w="80" w:type="dxa"/>
              <w:right w:w="120" w:type="dxa"/>
            </w:tcMar>
            <w:vAlign w:val="center"/>
          </w:tcPr>
          <w:p w14:paraId="6DA27197">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.902</w:t>
            </w:r>
          </w:p>
        </w:tc>
        <w:tc>
          <w:tcPr>
            <w:tcW w:w="391" w:type="pct"/>
            <w:tcBorders>
              <w:top w:val="nil"/>
              <w:left w:val="nil"/>
              <w:bottom w:val="nil"/>
              <w:right w:val="nil"/>
            </w:tcBorders>
            <w:noWrap w:val="0"/>
            <w:tcMar>
              <w:top w:w="80" w:type="dxa"/>
              <w:left w:w="120" w:type="dxa"/>
              <w:bottom w:w="80" w:type="dxa"/>
              <w:right w:w="120" w:type="dxa"/>
            </w:tcMar>
            <w:vAlign w:val="center"/>
          </w:tcPr>
          <w:p w14:paraId="7973D3DA">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.923</w:t>
            </w:r>
          </w:p>
        </w:tc>
        <w:tc>
          <w:tcPr>
            <w:tcW w:w="391" w:type="pct"/>
            <w:tcBorders>
              <w:top w:val="nil"/>
              <w:left w:val="nil"/>
              <w:bottom w:val="nil"/>
              <w:right w:val="nil"/>
            </w:tcBorders>
            <w:noWrap w:val="0"/>
            <w:tcMar>
              <w:top w:w="80" w:type="dxa"/>
              <w:left w:w="120" w:type="dxa"/>
              <w:bottom w:w="80" w:type="dxa"/>
              <w:right w:w="120" w:type="dxa"/>
            </w:tcMar>
            <w:vAlign w:val="center"/>
          </w:tcPr>
          <w:p w14:paraId="2AF8DD81">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.666</w:t>
            </w:r>
          </w:p>
        </w:tc>
      </w:tr>
      <w:tr w14:paraId="4F705B9B">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jc w:val="center"/>
        </w:trPr>
        <w:tc>
          <w:tcPr>
            <w:tcW w:w="1409" w:type="pct"/>
            <w:tcBorders>
              <w:top w:val="nil"/>
              <w:left w:val="nil"/>
              <w:bottom w:val="single" w:color="auto" w:sz="12" w:space="0"/>
              <w:right w:val="nil"/>
            </w:tcBorders>
            <w:noWrap w:val="0"/>
            <w:tcMar>
              <w:top w:w="80" w:type="dxa"/>
              <w:left w:w="120" w:type="dxa"/>
              <w:bottom w:w="80" w:type="dxa"/>
              <w:right w:w="120" w:type="dxa"/>
            </w:tcMar>
            <w:vAlign w:val="center"/>
          </w:tcPr>
          <w:p w14:paraId="50CB94C0">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Vocational identity</w:t>
            </w:r>
          </w:p>
        </w:tc>
        <w:tc>
          <w:tcPr>
            <w:tcW w:w="464" w:type="pct"/>
            <w:tcBorders>
              <w:top w:val="nil"/>
              <w:left w:val="nil"/>
              <w:bottom w:val="single" w:color="auto" w:sz="12" w:space="0"/>
              <w:right w:val="nil"/>
            </w:tcBorders>
            <w:noWrap w:val="0"/>
            <w:tcMar>
              <w:top w:w="80" w:type="dxa"/>
              <w:left w:w="120" w:type="dxa"/>
              <w:bottom w:w="80" w:type="dxa"/>
              <w:right w:w="120" w:type="dxa"/>
            </w:tcMar>
            <w:vAlign w:val="center"/>
          </w:tcPr>
          <w:p w14:paraId="2C2CB377">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3.372</w:t>
            </w:r>
          </w:p>
        </w:tc>
        <w:tc>
          <w:tcPr>
            <w:tcW w:w="464" w:type="pct"/>
            <w:tcBorders>
              <w:top w:val="nil"/>
              <w:left w:val="nil"/>
              <w:bottom w:val="single" w:color="auto" w:sz="12" w:space="0"/>
              <w:right w:val="nil"/>
            </w:tcBorders>
            <w:noWrap w:val="0"/>
            <w:tcMar>
              <w:top w:w="80" w:type="dxa"/>
              <w:left w:w="120" w:type="dxa"/>
              <w:bottom w:w="80" w:type="dxa"/>
              <w:right w:w="120" w:type="dxa"/>
            </w:tcMar>
            <w:vAlign w:val="center"/>
          </w:tcPr>
          <w:p w14:paraId="4ED9B77D">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.930</w:t>
            </w:r>
          </w:p>
        </w:tc>
        <w:tc>
          <w:tcPr>
            <w:tcW w:w="950" w:type="pct"/>
            <w:tcBorders>
              <w:top w:val="nil"/>
              <w:left w:val="nil"/>
              <w:bottom w:val="single" w:color="auto" w:sz="12" w:space="0"/>
              <w:right w:val="nil"/>
            </w:tcBorders>
            <w:noWrap w:val="0"/>
            <w:tcMar>
              <w:top w:w="80" w:type="dxa"/>
              <w:left w:w="120" w:type="dxa"/>
              <w:bottom w:w="80" w:type="dxa"/>
              <w:right w:w="120" w:type="dxa"/>
            </w:tcMar>
            <w:vAlign w:val="center"/>
          </w:tcPr>
          <w:p w14:paraId="3A158AE1">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.776-.817</w:t>
            </w:r>
          </w:p>
        </w:tc>
        <w:tc>
          <w:tcPr>
            <w:tcW w:w="455" w:type="pct"/>
            <w:tcBorders>
              <w:top w:val="nil"/>
              <w:left w:val="nil"/>
              <w:bottom w:val="single" w:color="auto" w:sz="12" w:space="0"/>
              <w:right w:val="nil"/>
            </w:tcBorders>
            <w:noWrap w:val="0"/>
            <w:tcMar>
              <w:top w:w="80" w:type="dxa"/>
              <w:left w:w="120" w:type="dxa"/>
              <w:bottom w:w="80" w:type="dxa"/>
              <w:right w:w="120" w:type="dxa"/>
            </w:tcMar>
            <w:vAlign w:val="center"/>
          </w:tcPr>
          <w:p w14:paraId="142AE56C">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.981</w:t>
            </w:r>
          </w:p>
        </w:tc>
        <w:tc>
          <w:tcPr>
            <w:tcW w:w="473" w:type="pct"/>
            <w:tcBorders>
              <w:top w:val="nil"/>
              <w:left w:val="nil"/>
              <w:bottom w:val="single" w:color="auto" w:sz="12" w:space="0"/>
              <w:right w:val="nil"/>
            </w:tcBorders>
            <w:noWrap w:val="0"/>
            <w:tcMar>
              <w:top w:w="80" w:type="dxa"/>
              <w:left w:w="120" w:type="dxa"/>
              <w:bottom w:w="80" w:type="dxa"/>
              <w:right w:w="120" w:type="dxa"/>
            </w:tcMar>
            <w:vAlign w:val="center"/>
          </w:tcPr>
          <w:p w14:paraId="0E752D2F">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.981</w:t>
            </w:r>
          </w:p>
        </w:tc>
        <w:tc>
          <w:tcPr>
            <w:tcW w:w="391" w:type="pct"/>
            <w:tcBorders>
              <w:top w:val="nil"/>
              <w:left w:val="nil"/>
              <w:bottom w:val="single" w:color="auto" w:sz="12" w:space="0"/>
              <w:right w:val="nil"/>
            </w:tcBorders>
            <w:noWrap w:val="0"/>
            <w:tcMar>
              <w:top w:w="80" w:type="dxa"/>
              <w:left w:w="120" w:type="dxa"/>
              <w:bottom w:w="80" w:type="dxa"/>
              <w:right w:w="120" w:type="dxa"/>
            </w:tcMar>
            <w:vAlign w:val="center"/>
          </w:tcPr>
          <w:p w14:paraId="7764BBC1">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.982</w:t>
            </w:r>
          </w:p>
        </w:tc>
        <w:tc>
          <w:tcPr>
            <w:tcW w:w="391" w:type="pct"/>
            <w:tcBorders>
              <w:top w:val="nil"/>
              <w:left w:val="nil"/>
              <w:bottom w:val="single" w:color="auto" w:sz="12" w:space="0"/>
              <w:right w:val="nil"/>
            </w:tcBorders>
            <w:noWrap w:val="0"/>
            <w:tcMar>
              <w:top w:w="80" w:type="dxa"/>
              <w:left w:w="120" w:type="dxa"/>
              <w:bottom w:w="80" w:type="dxa"/>
              <w:right w:w="120" w:type="dxa"/>
            </w:tcMar>
            <w:vAlign w:val="center"/>
          </w:tcPr>
          <w:p w14:paraId="7AC7431E">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.642</w:t>
            </w:r>
          </w:p>
        </w:tc>
      </w:tr>
    </w:tbl>
    <w:p w14:paraId="2BDC6BB3">
      <w:pPr>
        <w:spacing w:after="0"/>
        <w:jc w:val="both"/>
        <w:rPr>
          <w:rFonts w:hint="eastAsia" w:ascii="Cambria" w:hAnsi="Cambria"/>
          <w:sz w:val="22"/>
          <w:lang w:val="en-US" w:eastAsia="zh-CN"/>
        </w:rPr>
      </w:pPr>
      <w:r>
        <w:rPr>
          <w:rFonts w:hint="eastAsia" w:ascii="Cambria" w:hAnsi="Cambria"/>
          <w:sz w:val="22"/>
          <w:lang w:val="en-US" w:eastAsia="zh-CN"/>
        </w:rPr>
        <w:t>Note. N = 678. α = Cronbach's α; rho_A = Dijkstra-Henseler reliability; CR = composite reliability; AVE = average variance extracted. Statistics are reproduced from the full measurement model.</w:t>
      </w:r>
    </w:p>
    <w:p w14:paraId="17C889BE">
      <w:pPr>
        <w:spacing w:after="0"/>
        <w:jc w:val="both"/>
        <w:rPr>
          <w:rFonts w:hint="eastAsia" w:ascii="Cambria" w:hAnsi="Cambria"/>
          <w:sz w:val="22"/>
          <w:lang w:val="en-US" w:eastAsia="zh-CN"/>
        </w:rPr>
      </w:pPr>
    </w:p>
    <w:p w14:paraId="0C1DE8A6">
      <w:pPr>
        <w:numPr>
          <w:ilvl w:val="0"/>
          <w:numId w:val="0"/>
        </w:numPr>
        <w:ind w:leftChars="0"/>
        <w:outlineLvl w:val="1"/>
        <w:rPr>
          <w:rFonts w:hint="eastAsia" w:ascii="Cambria" w:hAnsi="Cambria" w:eastAsia="宋体" w:cs="Times New Roman"/>
          <w:b/>
          <w:bCs/>
          <w:snapToGrid w:val="0"/>
          <w:color w:val="auto"/>
          <w:kern w:val="0"/>
          <w:sz w:val="22"/>
          <w:szCs w:val="22"/>
          <w:lang w:val="en-US" w:eastAsia="zh-CN" w:bidi="ar-SA"/>
        </w:rPr>
      </w:pPr>
      <w:r>
        <w:rPr>
          <w:rFonts w:hint="eastAsia" w:ascii="Cambria" w:hAnsi="Cambria" w:eastAsia="宋体" w:cs="Times New Roman"/>
          <w:b/>
          <w:bCs/>
          <w:snapToGrid w:val="0"/>
          <w:color w:val="auto"/>
          <w:kern w:val="0"/>
          <w:sz w:val="22"/>
          <w:szCs w:val="22"/>
          <w:lang w:val="en-US" w:eastAsia="zh-CN" w:bidi="ar-SA"/>
        </w:rPr>
        <w:t>4.2</w:t>
      </w:r>
      <w:r>
        <w:rPr>
          <w:rFonts w:hint="eastAsia" w:ascii="Cambria" w:hAnsi="Cambria" w:eastAsia="宋体" w:cs="Times New Roman"/>
          <w:b/>
          <w:bCs/>
          <w:snapToGrid w:val="0"/>
          <w:color w:val="auto"/>
          <w:kern w:val="0"/>
          <w:sz w:val="22"/>
          <w:szCs w:val="22"/>
          <w:lang w:val="en-US" w:eastAsia="zh-CN" w:bidi="ar-SA"/>
        </w:rPr>
        <w:tab/>
      </w:r>
      <w:r>
        <w:rPr>
          <w:rFonts w:hint="eastAsia" w:ascii="Cambria" w:hAnsi="Cambria" w:eastAsia="宋体" w:cs="Times New Roman"/>
          <w:b/>
          <w:bCs/>
          <w:snapToGrid w:val="0"/>
          <w:color w:val="auto"/>
          <w:kern w:val="0"/>
          <w:sz w:val="22"/>
          <w:szCs w:val="22"/>
          <w:lang w:val="en-US" w:eastAsia="zh-CN" w:bidi="ar-SA"/>
        </w:rPr>
        <w:t>Structural relationships</w:t>
      </w:r>
    </w:p>
    <w:p w14:paraId="572F4D19">
      <w:pPr>
        <w:spacing w:after="0"/>
        <w:jc w:val="both"/>
        <w:rPr>
          <w:rFonts w:hint="eastAsia" w:ascii="Cambria" w:hAnsi="Cambria"/>
          <w:sz w:val="22"/>
          <w:lang w:val="en-US" w:eastAsia="zh-CN"/>
        </w:rPr>
      </w:pPr>
    </w:p>
    <w:p w14:paraId="0AC44D2B">
      <w:pPr>
        <w:spacing w:after="0"/>
        <w:jc w:val="both"/>
        <w:rPr>
          <w:rFonts w:hint="eastAsia" w:ascii="Cambria" w:hAnsi="Cambria"/>
          <w:sz w:val="22"/>
          <w:lang w:val="en-US" w:eastAsia="zh-CN"/>
        </w:rPr>
      </w:pPr>
      <w:r>
        <w:rPr>
          <w:rFonts w:hint="eastAsia" w:ascii="Cambria" w:hAnsi="Cambria"/>
          <w:sz w:val="22"/>
          <w:lang w:val="en-US" w:eastAsia="zh-CN"/>
        </w:rPr>
        <w:t>Consistent with Hypothesis 1, emotional intelligence was positively associated with crystallizing (β = .440, t = 14.026, p &lt; .001). EI explained 19.3% of the variance in crystallizing (R² = .193), and the corresponding effect size was medium under the study's interpretation (f² = .240).</w:t>
      </w:r>
    </w:p>
    <w:p w14:paraId="4C8B4ED3">
      <w:pPr>
        <w:spacing w:after="0"/>
        <w:jc w:val="both"/>
        <w:rPr>
          <w:rFonts w:hint="eastAsia" w:ascii="Cambria" w:hAnsi="Cambria"/>
          <w:sz w:val="22"/>
          <w:lang w:val="en-US" w:eastAsia="zh-CN"/>
        </w:rPr>
      </w:pPr>
      <w:r>
        <w:rPr>
          <w:rFonts w:hint="eastAsia" w:ascii="Cambria" w:hAnsi="Cambria"/>
          <w:sz w:val="22"/>
          <w:lang w:val="en-US" w:eastAsia="zh-CN"/>
        </w:rPr>
        <w:t>Consistent with Hypothesis 2, crystallizing was positively associated with vocational identity after EI and the remaining career construction responses were entered simultaneously (β = .136, t = 3.543, p &lt; .001). Its unique effect size was very small and close to the conventional small-effect benchmark (f² = .018).</w:t>
      </w:r>
    </w:p>
    <w:p w14:paraId="21913B3A">
      <w:pPr>
        <w:spacing w:after="0"/>
        <w:jc w:val="both"/>
        <w:rPr>
          <w:rFonts w:hint="eastAsia" w:ascii="Cambria" w:hAnsi="Cambria"/>
          <w:sz w:val="22"/>
          <w:lang w:val="en-US" w:eastAsia="zh-CN"/>
        </w:rPr>
      </w:pPr>
      <w:r>
        <w:rPr>
          <w:rFonts w:hint="eastAsia" w:ascii="Cambria" w:hAnsi="Cambria"/>
          <w:sz w:val="22"/>
          <w:lang w:val="en-US" w:eastAsia="zh-CN"/>
        </w:rPr>
        <w:t>Consistent with Hypothesis 3, the direct EI-to-VI association remained positive and statistically significant after the four career construction responses were considered (β = .181, t = 4.100, p &lt; .001; f² = .023). EI and the four responses jointly explained 19.4% of the variance in VI (R² = .194).</w:t>
      </w:r>
    </w:p>
    <w:p w14:paraId="748A9A0E">
      <w:pPr>
        <w:spacing w:after="0"/>
        <w:jc w:val="both"/>
        <w:rPr>
          <w:rFonts w:hint="eastAsia" w:ascii="Cambria" w:hAnsi="Cambria"/>
          <w:sz w:val="22"/>
          <w:lang w:val="en-US" w:eastAsia="zh-CN"/>
        </w:rPr>
      </w:pPr>
    </w:p>
    <w:p w14:paraId="34DC0027">
      <w:pPr>
        <w:numPr>
          <w:ilvl w:val="0"/>
          <w:numId w:val="0"/>
        </w:numPr>
        <w:ind w:leftChars="0"/>
        <w:outlineLvl w:val="1"/>
        <w:rPr>
          <w:rFonts w:hint="eastAsia" w:ascii="Cambria" w:hAnsi="Cambria" w:eastAsia="宋体" w:cs="Times New Roman"/>
          <w:b/>
          <w:bCs/>
          <w:snapToGrid w:val="0"/>
          <w:color w:val="auto"/>
          <w:kern w:val="0"/>
          <w:sz w:val="22"/>
          <w:szCs w:val="22"/>
          <w:lang w:val="en-US" w:eastAsia="zh-CN" w:bidi="ar-SA"/>
        </w:rPr>
      </w:pPr>
      <w:r>
        <w:rPr>
          <w:rFonts w:hint="eastAsia" w:ascii="Cambria" w:hAnsi="Cambria" w:eastAsia="宋体" w:cs="Times New Roman"/>
          <w:b/>
          <w:bCs/>
          <w:snapToGrid w:val="0"/>
          <w:color w:val="auto"/>
          <w:kern w:val="0"/>
          <w:sz w:val="22"/>
          <w:szCs w:val="22"/>
          <w:lang w:val="en-US" w:eastAsia="zh-CN" w:bidi="ar-SA"/>
        </w:rPr>
        <w:t>4.3</w:t>
      </w:r>
      <w:r>
        <w:rPr>
          <w:rFonts w:hint="eastAsia" w:ascii="Cambria" w:hAnsi="Cambria" w:eastAsia="宋体" w:cs="Times New Roman"/>
          <w:b/>
          <w:bCs/>
          <w:snapToGrid w:val="0"/>
          <w:color w:val="auto"/>
          <w:kern w:val="0"/>
          <w:sz w:val="22"/>
          <w:szCs w:val="22"/>
          <w:lang w:val="en-US" w:eastAsia="zh-CN" w:bidi="ar-SA"/>
        </w:rPr>
        <w:tab/>
      </w:r>
      <w:r>
        <w:rPr>
          <w:rFonts w:hint="eastAsia" w:ascii="Cambria" w:hAnsi="Cambria" w:eastAsia="宋体" w:cs="Times New Roman"/>
          <w:b/>
          <w:bCs/>
          <w:snapToGrid w:val="0"/>
          <w:color w:val="auto"/>
          <w:kern w:val="0"/>
          <w:sz w:val="22"/>
          <w:szCs w:val="22"/>
          <w:lang w:val="en-US" w:eastAsia="zh-CN" w:bidi="ar-SA"/>
        </w:rPr>
        <w:t>Specific indirect effect</w:t>
      </w:r>
    </w:p>
    <w:p w14:paraId="02A8274E">
      <w:pPr>
        <w:numPr>
          <w:ilvl w:val="0"/>
          <w:numId w:val="0"/>
        </w:numPr>
        <w:ind w:leftChars="0"/>
        <w:outlineLvl w:val="9"/>
        <w:rPr>
          <w:rFonts w:hint="eastAsia" w:ascii="Cambria" w:hAnsi="Cambria" w:eastAsia="宋体" w:cs="Times New Roman"/>
          <w:b/>
          <w:bCs/>
          <w:snapToGrid w:val="0"/>
          <w:color w:val="auto"/>
          <w:kern w:val="0"/>
          <w:sz w:val="22"/>
          <w:szCs w:val="22"/>
          <w:lang w:val="en-US" w:eastAsia="zh-CN" w:bidi="ar-SA"/>
        </w:rPr>
      </w:pPr>
    </w:p>
    <w:p w14:paraId="0A3F934F">
      <w:pPr>
        <w:spacing w:after="0"/>
        <w:jc w:val="both"/>
        <w:rPr>
          <w:rFonts w:hint="eastAsia" w:ascii="Cambria" w:hAnsi="Cambria"/>
          <w:sz w:val="22"/>
          <w:lang w:val="en-US" w:eastAsia="zh-CN"/>
        </w:rPr>
      </w:pPr>
      <w:r>
        <w:rPr>
          <w:rFonts w:hint="eastAsia" w:ascii="Cambria" w:hAnsi="Cambria"/>
          <w:sz w:val="22"/>
          <w:lang w:val="en-US" w:eastAsia="zh-CN"/>
        </w:rPr>
        <w:t>Consistent with Hypothesis 4, the specific indirect association from EI to VI through crystallizing was positive and statistically significant (β = .060, t = 3.451, p = .001). Because the direct EI-to-VI association and this specific indirect association were both positive and significant, the pattern was consistent with complementary partial mediation in the estimated parallel model. The indirect coefficient was small and should not be interpreted as evidence that crystallizing is a dominant mechanism.</w:t>
      </w:r>
    </w:p>
    <w:p w14:paraId="68A94DD2">
      <w:pPr>
        <w:spacing w:after="0"/>
        <w:jc w:val="both"/>
        <w:rPr>
          <w:rFonts w:hint="eastAsia" w:ascii="Cambria" w:hAnsi="Cambria"/>
          <w:sz w:val="22"/>
          <w:lang w:val="en-US" w:eastAsia="zh-CN"/>
        </w:rPr>
      </w:pPr>
    </w:p>
    <w:p w14:paraId="49D93F89">
      <w:pPr>
        <w:spacing w:after="0"/>
        <w:jc w:val="center"/>
        <w:rPr>
          <w:rFonts w:hint="eastAsia" w:ascii="Cambria" w:hAnsi="Cambria"/>
          <w:sz w:val="22"/>
          <w:lang w:val="en-US" w:eastAsia="zh-CN"/>
        </w:rPr>
      </w:pPr>
      <w:r>
        <w:rPr>
          <w:rFonts w:hint="eastAsia" w:ascii="Cambria" w:hAnsi="Cambria"/>
          <w:sz w:val="22"/>
          <w:lang w:val="en-US" w:eastAsia="zh-CN"/>
        </w:rPr>
        <w:t>Table 3. Focused direct and specific indirect effects from the full parallel-mediation model</w:t>
      </w:r>
    </w:p>
    <w:p w14:paraId="242AB68D">
      <w:pPr>
        <w:spacing w:after="0"/>
        <w:jc w:val="center"/>
        <w:rPr>
          <w:rFonts w:hint="eastAsia" w:ascii="Cambria" w:hAnsi="Cambria"/>
          <w:sz w:val="22"/>
          <w:lang w:val="en-US" w:eastAsia="zh-CN"/>
        </w:rPr>
      </w:pPr>
    </w:p>
    <w:tbl>
      <w:tblPr>
        <w:tblStyle w:val="9"/>
        <w:tblW w:w="4996" w:type="pct"/>
        <w:jc w:val="center"/>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Layout w:type="autofit"/>
        <w:tblCellMar>
          <w:top w:w="0" w:type="dxa"/>
          <w:left w:w="108" w:type="dxa"/>
          <w:bottom w:w="0" w:type="dxa"/>
          <w:right w:w="108" w:type="dxa"/>
        </w:tblCellMar>
      </w:tblPr>
      <w:tblGrid>
        <w:gridCol w:w="2378"/>
        <w:gridCol w:w="939"/>
        <w:gridCol w:w="939"/>
        <w:gridCol w:w="1291"/>
        <w:gridCol w:w="1185"/>
        <w:gridCol w:w="939"/>
        <w:gridCol w:w="1772"/>
      </w:tblGrid>
      <w:tr w14:paraId="2E08BF02">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tblHeader/>
          <w:jc w:val="center"/>
        </w:trPr>
        <w:tc>
          <w:tcPr>
            <w:tcW w:w="1258"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6DFC00FA">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Effect</w:t>
            </w:r>
          </w:p>
        </w:tc>
        <w:tc>
          <w:tcPr>
            <w:tcW w:w="497"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4F2E121E">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β</w:t>
            </w:r>
          </w:p>
        </w:tc>
        <w:tc>
          <w:tcPr>
            <w:tcW w:w="497"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28283DF5">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SE</w:t>
            </w:r>
          </w:p>
        </w:tc>
        <w:tc>
          <w:tcPr>
            <w:tcW w:w="683"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31A9BC1E">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t</w:t>
            </w:r>
          </w:p>
        </w:tc>
        <w:tc>
          <w:tcPr>
            <w:tcW w:w="627"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7461959C">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p</w:t>
            </w:r>
          </w:p>
        </w:tc>
        <w:tc>
          <w:tcPr>
            <w:tcW w:w="497"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2679DF94">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f²</w:t>
            </w:r>
          </w:p>
        </w:tc>
        <w:tc>
          <w:tcPr>
            <w:tcW w:w="937" w:type="pct"/>
            <w:tcBorders>
              <w:top w:val="single" w:color="auto" w:sz="12" w:space="0"/>
              <w:left w:val="nil"/>
              <w:bottom w:val="nil"/>
              <w:right w:val="nil"/>
            </w:tcBorders>
            <w:shd w:val="clear" w:color="auto" w:fill="F4F6F9"/>
            <w:noWrap w:val="0"/>
            <w:tcMar>
              <w:top w:w="80" w:type="dxa"/>
              <w:left w:w="120" w:type="dxa"/>
              <w:bottom w:w="80" w:type="dxa"/>
              <w:right w:w="120" w:type="dxa"/>
            </w:tcMar>
            <w:vAlign w:val="center"/>
          </w:tcPr>
          <w:p w14:paraId="7C7876CF">
            <w:pPr>
              <w:snapToGrid w:val="0"/>
              <w:spacing w:after="0"/>
              <w:ind w:left="0" w:leftChars="0" w:right="0" w:rightChars="0" w:firstLine="0" w:firstLineChars="0"/>
              <w:jc w:val="center"/>
              <w:rPr>
                <w:rFonts w:hint="eastAsia" w:ascii="Cambria" w:hAnsi="Cambria"/>
                <w:b/>
                <w:sz w:val="22"/>
                <w:lang w:val="en-US" w:eastAsia="zh-CN"/>
              </w:rPr>
            </w:pPr>
            <w:r>
              <w:rPr>
                <w:rFonts w:hint="eastAsia" w:ascii="Cambria" w:hAnsi="Cambria"/>
                <w:b/>
                <w:sz w:val="22"/>
                <w:lang w:val="en-US" w:eastAsia="zh-CN"/>
              </w:rPr>
              <w:t>Decision</w:t>
            </w:r>
          </w:p>
        </w:tc>
      </w:tr>
      <w:tr w14:paraId="1FA5F0A8">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jc w:val="center"/>
        </w:trPr>
        <w:tc>
          <w:tcPr>
            <w:tcW w:w="1258" w:type="pct"/>
            <w:tcBorders>
              <w:top w:val="single" w:color="auto" w:sz="4" w:space="0"/>
              <w:left w:val="nil"/>
              <w:bottom w:val="nil"/>
              <w:right w:val="nil"/>
            </w:tcBorders>
            <w:noWrap w:val="0"/>
            <w:tcMar>
              <w:top w:w="80" w:type="dxa"/>
              <w:left w:w="120" w:type="dxa"/>
              <w:bottom w:w="80" w:type="dxa"/>
              <w:right w:w="120" w:type="dxa"/>
            </w:tcMar>
            <w:vAlign w:val="center"/>
          </w:tcPr>
          <w:p w14:paraId="0BD24680">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EI → CC1</w:t>
            </w:r>
          </w:p>
        </w:tc>
        <w:tc>
          <w:tcPr>
            <w:tcW w:w="497" w:type="pct"/>
            <w:tcBorders>
              <w:top w:val="single" w:color="auto" w:sz="4" w:space="0"/>
              <w:left w:val="nil"/>
              <w:bottom w:val="nil"/>
              <w:right w:val="nil"/>
            </w:tcBorders>
            <w:noWrap w:val="0"/>
            <w:tcMar>
              <w:top w:w="80" w:type="dxa"/>
              <w:left w:w="120" w:type="dxa"/>
              <w:bottom w:w="80" w:type="dxa"/>
              <w:right w:w="120" w:type="dxa"/>
            </w:tcMar>
            <w:vAlign w:val="center"/>
          </w:tcPr>
          <w:p w14:paraId="5C5C700F">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.440</w:t>
            </w:r>
          </w:p>
        </w:tc>
        <w:tc>
          <w:tcPr>
            <w:tcW w:w="497" w:type="pct"/>
            <w:tcBorders>
              <w:top w:val="single" w:color="auto" w:sz="4" w:space="0"/>
              <w:left w:val="nil"/>
              <w:bottom w:val="nil"/>
              <w:right w:val="nil"/>
            </w:tcBorders>
            <w:noWrap w:val="0"/>
            <w:tcMar>
              <w:top w:w="80" w:type="dxa"/>
              <w:left w:w="120" w:type="dxa"/>
              <w:bottom w:w="80" w:type="dxa"/>
              <w:right w:w="120" w:type="dxa"/>
            </w:tcMar>
            <w:vAlign w:val="center"/>
          </w:tcPr>
          <w:p w14:paraId="7C013D2B">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.031</w:t>
            </w:r>
          </w:p>
        </w:tc>
        <w:tc>
          <w:tcPr>
            <w:tcW w:w="683" w:type="pct"/>
            <w:tcBorders>
              <w:top w:val="single" w:color="auto" w:sz="4" w:space="0"/>
              <w:left w:val="nil"/>
              <w:bottom w:val="nil"/>
              <w:right w:val="nil"/>
            </w:tcBorders>
            <w:noWrap w:val="0"/>
            <w:tcMar>
              <w:top w:w="80" w:type="dxa"/>
              <w:left w:w="120" w:type="dxa"/>
              <w:bottom w:w="80" w:type="dxa"/>
              <w:right w:w="120" w:type="dxa"/>
            </w:tcMar>
            <w:vAlign w:val="center"/>
          </w:tcPr>
          <w:p w14:paraId="19237ADA">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14.026</w:t>
            </w:r>
          </w:p>
        </w:tc>
        <w:tc>
          <w:tcPr>
            <w:tcW w:w="627" w:type="pct"/>
            <w:tcBorders>
              <w:top w:val="single" w:color="auto" w:sz="4" w:space="0"/>
              <w:left w:val="nil"/>
              <w:bottom w:val="nil"/>
              <w:right w:val="nil"/>
            </w:tcBorders>
            <w:noWrap w:val="0"/>
            <w:tcMar>
              <w:top w:w="80" w:type="dxa"/>
              <w:left w:w="120" w:type="dxa"/>
              <w:bottom w:w="80" w:type="dxa"/>
              <w:right w:w="120" w:type="dxa"/>
            </w:tcMar>
            <w:vAlign w:val="center"/>
          </w:tcPr>
          <w:p w14:paraId="53BB973F">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&lt; .001</w:t>
            </w:r>
          </w:p>
        </w:tc>
        <w:tc>
          <w:tcPr>
            <w:tcW w:w="497" w:type="pct"/>
            <w:tcBorders>
              <w:top w:val="single" w:color="auto" w:sz="4" w:space="0"/>
              <w:left w:val="nil"/>
              <w:bottom w:val="nil"/>
              <w:right w:val="nil"/>
            </w:tcBorders>
            <w:noWrap w:val="0"/>
            <w:tcMar>
              <w:top w:w="80" w:type="dxa"/>
              <w:left w:w="120" w:type="dxa"/>
              <w:bottom w:w="80" w:type="dxa"/>
              <w:right w:w="120" w:type="dxa"/>
            </w:tcMar>
            <w:vAlign w:val="center"/>
          </w:tcPr>
          <w:p w14:paraId="11135916">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.240</w:t>
            </w:r>
          </w:p>
        </w:tc>
        <w:tc>
          <w:tcPr>
            <w:tcW w:w="937" w:type="pct"/>
            <w:tcBorders>
              <w:top w:val="single" w:color="auto" w:sz="4" w:space="0"/>
              <w:left w:val="nil"/>
              <w:bottom w:val="nil"/>
              <w:right w:val="nil"/>
            </w:tcBorders>
            <w:noWrap w:val="0"/>
            <w:tcMar>
              <w:top w:w="80" w:type="dxa"/>
              <w:left w:w="120" w:type="dxa"/>
              <w:bottom w:w="80" w:type="dxa"/>
              <w:right w:w="120" w:type="dxa"/>
            </w:tcMar>
            <w:vAlign w:val="center"/>
          </w:tcPr>
          <w:p w14:paraId="28D37A32">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Supported</w:t>
            </w:r>
          </w:p>
        </w:tc>
      </w:tr>
      <w:tr w14:paraId="52DEB30F">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jc w:val="center"/>
        </w:trPr>
        <w:tc>
          <w:tcPr>
            <w:tcW w:w="1258" w:type="pct"/>
            <w:tcBorders>
              <w:top w:val="nil"/>
              <w:left w:val="nil"/>
              <w:bottom w:val="nil"/>
              <w:right w:val="nil"/>
            </w:tcBorders>
            <w:noWrap w:val="0"/>
            <w:tcMar>
              <w:top w:w="80" w:type="dxa"/>
              <w:left w:w="120" w:type="dxa"/>
              <w:bottom w:w="80" w:type="dxa"/>
              <w:right w:w="120" w:type="dxa"/>
            </w:tcMar>
            <w:vAlign w:val="center"/>
          </w:tcPr>
          <w:p w14:paraId="044CC879">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CC1 → VI</w:t>
            </w:r>
          </w:p>
        </w:tc>
        <w:tc>
          <w:tcPr>
            <w:tcW w:w="497" w:type="pct"/>
            <w:tcBorders>
              <w:top w:val="nil"/>
              <w:left w:val="nil"/>
              <w:bottom w:val="nil"/>
              <w:right w:val="nil"/>
            </w:tcBorders>
            <w:noWrap w:val="0"/>
            <w:tcMar>
              <w:top w:w="80" w:type="dxa"/>
              <w:left w:w="120" w:type="dxa"/>
              <w:bottom w:w="80" w:type="dxa"/>
              <w:right w:w="120" w:type="dxa"/>
            </w:tcMar>
            <w:vAlign w:val="center"/>
          </w:tcPr>
          <w:p w14:paraId="6F5D516E">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.136</w:t>
            </w:r>
          </w:p>
        </w:tc>
        <w:tc>
          <w:tcPr>
            <w:tcW w:w="497" w:type="pct"/>
            <w:tcBorders>
              <w:top w:val="nil"/>
              <w:left w:val="nil"/>
              <w:bottom w:val="nil"/>
              <w:right w:val="nil"/>
            </w:tcBorders>
            <w:noWrap w:val="0"/>
            <w:tcMar>
              <w:top w:w="80" w:type="dxa"/>
              <w:left w:w="120" w:type="dxa"/>
              <w:bottom w:w="80" w:type="dxa"/>
              <w:right w:w="120" w:type="dxa"/>
            </w:tcMar>
            <w:vAlign w:val="center"/>
          </w:tcPr>
          <w:p w14:paraId="4C01A02C">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.038</w:t>
            </w:r>
          </w:p>
        </w:tc>
        <w:tc>
          <w:tcPr>
            <w:tcW w:w="683" w:type="pct"/>
            <w:tcBorders>
              <w:top w:val="nil"/>
              <w:left w:val="nil"/>
              <w:bottom w:val="nil"/>
              <w:right w:val="nil"/>
            </w:tcBorders>
            <w:noWrap w:val="0"/>
            <w:tcMar>
              <w:top w:w="80" w:type="dxa"/>
              <w:left w:w="120" w:type="dxa"/>
              <w:bottom w:w="80" w:type="dxa"/>
              <w:right w:w="120" w:type="dxa"/>
            </w:tcMar>
            <w:vAlign w:val="center"/>
          </w:tcPr>
          <w:p w14:paraId="6A14F4C1">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3.543</w:t>
            </w:r>
          </w:p>
        </w:tc>
        <w:tc>
          <w:tcPr>
            <w:tcW w:w="627" w:type="pct"/>
            <w:tcBorders>
              <w:top w:val="nil"/>
              <w:left w:val="nil"/>
              <w:bottom w:val="nil"/>
              <w:right w:val="nil"/>
            </w:tcBorders>
            <w:noWrap w:val="0"/>
            <w:tcMar>
              <w:top w:w="80" w:type="dxa"/>
              <w:left w:w="120" w:type="dxa"/>
              <w:bottom w:w="80" w:type="dxa"/>
              <w:right w:w="120" w:type="dxa"/>
            </w:tcMar>
            <w:vAlign w:val="center"/>
          </w:tcPr>
          <w:p w14:paraId="0946BEF4">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&lt; .001</w:t>
            </w:r>
          </w:p>
        </w:tc>
        <w:tc>
          <w:tcPr>
            <w:tcW w:w="497" w:type="pct"/>
            <w:tcBorders>
              <w:top w:val="nil"/>
              <w:left w:val="nil"/>
              <w:bottom w:val="nil"/>
              <w:right w:val="nil"/>
            </w:tcBorders>
            <w:noWrap w:val="0"/>
            <w:tcMar>
              <w:top w:w="80" w:type="dxa"/>
              <w:left w:w="120" w:type="dxa"/>
              <w:bottom w:w="80" w:type="dxa"/>
              <w:right w:w="120" w:type="dxa"/>
            </w:tcMar>
            <w:vAlign w:val="center"/>
          </w:tcPr>
          <w:p w14:paraId="52DA32C5">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.018</w:t>
            </w:r>
          </w:p>
        </w:tc>
        <w:tc>
          <w:tcPr>
            <w:tcW w:w="937" w:type="pct"/>
            <w:tcBorders>
              <w:top w:val="nil"/>
              <w:left w:val="nil"/>
              <w:bottom w:val="nil"/>
              <w:right w:val="nil"/>
            </w:tcBorders>
            <w:noWrap w:val="0"/>
            <w:tcMar>
              <w:top w:w="80" w:type="dxa"/>
              <w:left w:w="120" w:type="dxa"/>
              <w:bottom w:w="80" w:type="dxa"/>
              <w:right w:w="120" w:type="dxa"/>
            </w:tcMar>
            <w:vAlign w:val="center"/>
          </w:tcPr>
          <w:p w14:paraId="37784432">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Supported</w:t>
            </w:r>
          </w:p>
        </w:tc>
      </w:tr>
      <w:tr w14:paraId="77D7EC45">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jc w:val="center"/>
        </w:trPr>
        <w:tc>
          <w:tcPr>
            <w:tcW w:w="1258" w:type="pct"/>
            <w:tcBorders>
              <w:top w:val="nil"/>
              <w:left w:val="nil"/>
              <w:bottom w:val="nil"/>
              <w:right w:val="nil"/>
            </w:tcBorders>
            <w:noWrap w:val="0"/>
            <w:tcMar>
              <w:top w:w="80" w:type="dxa"/>
              <w:left w:w="120" w:type="dxa"/>
              <w:bottom w:w="80" w:type="dxa"/>
              <w:right w:w="120" w:type="dxa"/>
            </w:tcMar>
            <w:vAlign w:val="center"/>
          </w:tcPr>
          <w:p w14:paraId="1FF118F5">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EI → VI</w:t>
            </w:r>
          </w:p>
        </w:tc>
        <w:tc>
          <w:tcPr>
            <w:tcW w:w="497" w:type="pct"/>
            <w:tcBorders>
              <w:top w:val="nil"/>
              <w:left w:val="nil"/>
              <w:bottom w:val="nil"/>
              <w:right w:val="nil"/>
            </w:tcBorders>
            <w:noWrap w:val="0"/>
            <w:tcMar>
              <w:top w:w="80" w:type="dxa"/>
              <w:left w:w="120" w:type="dxa"/>
              <w:bottom w:w="80" w:type="dxa"/>
              <w:right w:w="120" w:type="dxa"/>
            </w:tcMar>
            <w:vAlign w:val="center"/>
          </w:tcPr>
          <w:p w14:paraId="41AC2F24">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.181</w:t>
            </w:r>
          </w:p>
        </w:tc>
        <w:tc>
          <w:tcPr>
            <w:tcW w:w="497" w:type="pct"/>
            <w:tcBorders>
              <w:top w:val="nil"/>
              <w:left w:val="nil"/>
              <w:bottom w:val="nil"/>
              <w:right w:val="nil"/>
            </w:tcBorders>
            <w:noWrap w:val="0"/>
            <w:tcMar>
              <w:top w:w="80" w:type="dxa"/>
              <w:left w:w="120" w:type="dxa"/>
              <w:bottom w:w="80" w:type="dxa"/>
              <w:right w:w="120" w:type="dxa"/>
            </w:tcMar>
            <w:vAlign w:val="center"/>
          </w:tcPr>
          <w:p w14:paraId="090F3C95">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.044</w:t>
            </w:r>
          </w:p>
        </w:tc>
        <w:tc>
          <w:tcPr>
            <w:tcW w:w="683" w:type="pct"/>
            <w:tcBorders>
              <w:top w:val="nil"/>
              <w:left w:val="nil"/>
              <w:bottom w:val="nil"/>
              <w:right w:val="nil"/>
            </w:tcBorders>
            <w:noWrap w:val="0"/>
            <w:tcMar>
              <w:top w:w="80" w:type="dxa"/>
              <w:left w:w="120" w:type="dxa"/>
              <w:bottom w:w="80" w:type="dxa"/>
              <w:right w:w="120" w:type="dxa"/>
            </w:tcMar>
            <w:vAlign w:val="center"/>
          </w:tcPr>
          <w:p w14:paraId="00CC8CDA">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4.100</w:t>
            </w:r>
          </w:p>
        </w:tc>
        <w:tc>
          <w:tcPr>
            <w:tcW w:w="627" w:type="pct"/>
            <w:tcBorders>
              <w:top w:val="nil"/>
              <w:left w:val="nil"/>
              <w:bottom w:val="nil"/>
              <w:right w:val="nil"/>
            </w:tcBorders>
            <w:noWrap w:val="0"/>
            <w:tcMar>
              <w:top w:w="80" w:type="dxa"/>
              <w:left w:w="120" w:type="dxa"/>
              <w:bottom w:w="80" w:type="dxa"/>
              <w:right w:w="120" w:type="dxa"/>
            </w:tcMar>
            <w:vAlign w:val="center"/>
          </w:tcPr>
          <w:p w14:paraId="26CBC815">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&lt; .001</w:t>
            </w:r>
          </w:p>
        </w:tc>
        <w:tc>
          <w:tcPr>
            <w:tcW w:w="497" w:type="pct"/>
            <w:tcBorders>
              <w:top w:val="nil"/>
              <w:left w:val="nil"/>
              <w:bottom w:val="nil"/>
              <w:right w:val="nil"/>
            </w:tcBorders>
            <w:noWrap w:val="0"/>
            <w:tcMar>
              <w:top w:w="80" w:type="dxa"/>
              <w:left w:w="120" w:type="dxa"/>
              <w:bottom w:w="80" w:type="dxa"/>
              <w:right w:w="120" w:type="dxa"/>
            </w:tcMar>
            <w:vAlign w:val="center"/>
          </w:tcPr>
          <w:p w14:paraId="4DA22DFD">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.023</w:t>
            </w:r>
          </w:p>
        </w:tc>
        <w:tc>
          <w:tcPr>
            <w:tcW w:w="937" w:type="pct"/>
            <w:tcBorders>
              <w:top w:val="nil"/>
              <w:left w:val="nil"/>
              <w:bottom w:val="nil"/>
              <w:right w:val="nil"/>
            </w:tcBorders>
            <w:noWrap w:val="0"/>
            <w:tcMar>
              <w:top w:w="80" w:type="dxa"/>
              <w:left w:w="120" w:type="dxa"/>
              <w:bottom w:w="80" w:type="dxa"/>
              <w:right w:w="120" w:type="dxa"/>
            </w:tcMar>
            <w:vAlign w:val="center"/>
          </w:tcPr>
          <w:p w14:paraId="71BDBA08">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Supported</w:t>
            </w:r>
          </w:p>
        </w:tc>
      </w:tr>
      <w:tr w14:paraId="6B7E9D08">
        <w:tblPrEx>
          <w:tblBorders>
            <w:top w:val="none" w:color="C9D1D9" w:sz="6" w:space="0"/>
            <w:left w:val="none" w:color="C9D1D9" w:sz="6" w:space="0"/>
            <w:bottom w:val="none" w:color="C9D1D9" w:sz="6" w:space="0"/>
            <w:right w:val="none" w:color="C9D1D9" w:sz="6" w:space="0"/>
            <w:insideH w:val="none" w:color="C9D1D9" w:sz="6" w:space="0"/>
            <w:insideV w:val="none" w:color="C9D1D9" w:sz="6" w:space="0"/>
          </w:tblBorders>
          <w:tblCellMar>
            <w:top w:w="0" w:type="dxa"/>
            <w:left w:w="108" w:type="dxa"/>
            <w:bottom w:w="0" w:type="dxa"/>
            <w:right w:w="108" w:type="dxa"/>
          </w:tblCellMar>
        </w:tblPrEx>
        <w:trPr>
          <w:trHeight w:val="0" w:hRule="atLeast"/>
          <w:jc w:val="center"/>
        </w:trPr>
        <w:tc>
          <w:tcPr>
            <w:tcW w:w="1258" w:type="pct"/>
            <w:tcBorders>
              <w:top w:val="nil"/>
              <w:left w:val="nil"/>
              <w:bottom w:val="single" w:color="auto" w:sz="12" w:space="0"/>
              <w:right w:val="nil"/>
            </w:tcBorders>
            <w:noWrap w:val="0"/>
            <w:tcMar>
              <w:top w:w="80" w:type="dxa"/>
              <w:left w:w="120" w:type="dxa"/>
              <w:bottom w:w="80" w:type="dxa"/>
              <w:right w:w="120" w:type="dxa"/>
            </w:tcMar>
            <w:vAlign w:val="center"/>
          </w:tcPr>
          <w:p w14:paraId="3E5D1448">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EI → CC1 → VI</w:t>
            </w:r>
          </w:p>
        </w:tc>
        <w:tc>
          <w:tcPr>
            <w:tcW w:w="497" w:type="pct"/>
            <w:tcBorders>
              <w:top w:val="nil"/>
              <w:left w:val="nil"/>
              <w:bottom w:val="single" w:color="auto" w:sz="12" w:space="0"/>
              <w:right w:val="nil"/>
            </w:tcBorders>
            <w:noWrap w:val="0"/>
            <w:tcMar>
              <w:top w:w="80" w:type="dxa"/>
              <w:left w:w="120" w:type="dxa"/>
              <w:bottom w:w="80" w:type="dxa"/>
              <w:right w:w="120" w:type="dxa"/>
            </w:tcMar>
            <w:vAlign w:val="center"/>
          </w:tcPr>
          <w:p w14:paraId="1ED07760">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.060</w:t>
            </w:r>
          </w:p>
        </w:tc>
        <w:tc>
          <w:tcPr>
            <w:tcW w:w="497" w:type="pct"/>
            <w:tcBorders>
              <w:top w:val="nil"/>
              <w:left w:val="nil"/>
              <w:bottom w:val="single" w:color="auto" w:sz="12" w:space="0"/>
              <w:right w:val="nil"/>
            </w:tcBorders>
            <w:noWrap w:val="0"/>
            <w:tcMar>
              <w:top w:w="80" w:type="dxa"/>
              <w:left w:w="120" w:type="dxa"/>
              <w:bottom w:w="80" w:type="dxa"/>
              <w:right w:w="120" w:type="dxa"/>
            </w:tcMar>
            <w:vAlign w:val="center"/>
          </w:tcPr>
          <w:p w14:paraId="536A9722">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.017</w:t>
            </w:r>
          </w:p>
        </w:tc>
        <w:tc>
          <w:tcPr>
            <w:tcW w:w="683" w:type="pct"/>
            <w:tcBorders>
              <w:top w:val="nil"/>
              <w:left w:val="nil"/>
              <w:bottom w:val="single" w:color="auto" w:sz="12" w:space="0"/>
              <w:right w:val="nil"/>
            </w:tcBorders>
            <w:noWrap w:val="0"/>
            <w:tcMar>
              <w:top w:w="80" w:type="dxa"/>
              <w:left w:w="120" w:type="dxa"/>
              <w:bottom w:w="80" w:type="dxa"/>
              <w:right w:w="120" w:type="dxa"/>
            </w:tcMar>
            <w:vAlign w:val="center"/>
          </w:tcPr>
          <w:p w14:paraId="61A02A68">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3.451</w:t>
            </w:r>
          </w:p>
        </w:tc>
        <w:tc>
          <w:tcPr>
            <w:tcW w:w="627" w:type="pct"/>
            <w:tcBorders>
              <w:top w:val="nil"/>
              <w:left w:val="nil"/>
              <w:bottom w:val="single" w:color="auto" w:sz="12" w:space="0"/>
              <w:right w:val="nil"/>
            </w:tcBorders>
            <w:noWrap w:val="0"/>
            <w:tcMar>
              <w:top w:w="80" w:type="dxa"/>
              <w:left w:w="120" w:type="dxa"/>
              <w:bottom w:w="80" w:type="dxa"/>
              <w:right w:w="120" w:type="dxa"/>
            </w:tcMar>
            <w:vAlign w:val="center"/>
          </w:tcPr>
          <w:p w14:paraId="73B5B104">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.001</w:t>
            </w:r>
          </w:p>
        </w:tc>
        <w:tc>
          <w:tcPr>
            <w:tcW w:w="497" w:type="pct"/>
            <w:tcBorders>
              <w:top w:val="nil"/>
              <w:left w:val="nil"/>
              <w:bottom w:val="single" w:color="auto" w:sz="12" w:space="0"/>
              <w:right w:val="nil"/>
            </w:tcBorders>
            <w:noWrap w:val="0"/>
            <w:tcMar>
              <w:top w:w="80" w:type="dxa"/>
              <w:left w:w="120" w:type="dxa"/>
              <w:bottom w:w="80" w:type="dxa"/>
              <w:right w:w="120" w:type="dxa"/>
            </w:tcMar>
            <w:vAlign w:val="center"/>
          </w:tcPr>
          <w:p w14:paraId="468C1D88">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w:t>
            </w:r>
          </w:p>
        </w:tc>
        <w:tc>
          <w:tcPr>
            <w:tcW w:w="937" w:type="pct"/>
            <w:tcBorders>
              <w:top w:val="nil"/>
              <w:left w:val="nil"/>
              <w:bottom w:val="single" w:color="auto" w:sz="12" w:space="0"/>
              <w:right w:val="nil"/>
            </w:tcBorders>
            <w:noWrap w:val="0"/>
            <w:tcMar>
              <w:top w:w="80" w:type="dxa"/>
              <w:left w:w="120" w:type="dxa"/>
              <w:bottom w:w="80" w:type="dxa"/>
              <w:right w:w="120" w:type="dxa"/>
            </w:tcMar>
            <w:vAlign w:val="center"/>
          </w:tcPr>
          <w:p w14:paraId="339BFBDF">
            <w:pPr>
              <w:snapToGrid w:val="0"/>
              <w:spacing w:after="0"/>
              <w:ind w:left="0" w:leftChars="0" w:right="0" w:rightChars="0" w:firstLine="0" w:firstLineChars="0"/>
              <w:jc w:val="center"/>
              <w:rPr>
                <w:rFonts w:hint="eastAsia" w:ascii="Cambria" w:hAnsi="Cambria"/>
                <w:sz w:val="22"/>
                <w:lang w:val="en-US" w:eastAsia="zh-CN"/>
              </w:rPr>
            </w:pPr>
            <w:r>
              <w:rPr>
                <w:rFonts w:hint="eastAsia" w:ascii="Cambria" w:hAnsi="Cambria"/>
                <w:sz w:val="22"/>
                <w:lang w:val="en-US" w:eastAsia="zh-CN"/>
              </w:rPr>
              <w:t>Supported</w:t>
            </w:r>
          </w:p>
        </w:tc>
      </w:tr>
    </w:tbl>
    <w:p w14:paraId="146BA81F">
      <w:pPr>
        <w:spacing w:after="0"/>
        <w:jc w:val="both"/>
        <w:rPr>
          <w:rFonts w:hint="eastAsia" w:ascii="Cambria" w:hAnsi="Cambria"/>
          <w:sz w:val="22"/>
          <w:lang w:val="en-US" w:eastAsia="zh-CN"/>
        </w:rPr>
      </w:pPr>
      <w:r>
        <w:rPr>
          <w:rFonts w:hint="eastAsia" w:ascii="Cambria" w:hAnsi="Cambria"/>
          <w:sz w:val="22"/>
          <w:lang w:val="en-US" w:eastAsia="zh-CN"/>
        </w:rPr>
        <w:t>Note. EI = emotional intelligence; CC1 = crystallizing; VI = vocational identity; SE = bootstrap standard error. The CC1 → VI, EI → VI, and indirect coefficients were estimated while exploring, deciding, and preparing were also included as parallel mediators. A dash indicates that an f² value is not defined for the indirect effect.</w:t>
      </w:r>
    </w:p>
    <w:p w14:paraId="15657331">
      <w:pPr>
        <w:spacing w:after="0"/>
        <w:jc w:val="both"/>
        <w:outlineLvl w:val="9"/>
        <w:rPr>
          <w:rFonts w:hint="eastAsia" w:ascii="Cambria" w:hAnsi="Cambria"/>
          <w:sz w:val="22"/>
          <w:lang w:val="en-US" w:eastAsia="zh-CN"/>
        </w:rPr>
      </w:pPr>
    </w:p>
    <w:p w14:paraId="1DD5D711">
      <w:pPr>
        <w:pStyle w:val="3"/>
        <w:keepNext/>
        <w:spacing w:line="240" w:lineRule="auto"/>
        <w:rPr>
          <w:rFonts w:hint="eastAsia" w:ascii="Cambria" w:hAnsi="Cambria" w:eastAsia="宋体" w:cs="Times New Roman"/>
          <w:b/>
          <w:bCs/>
          <w:snapToGrid w:val="0"/>
          <w:color w:val="auto"/>
          <w:kern w:val="0"/>
          <w:sz w:val="22"/>
          <w:szCs w:val="22"/>
          <w:lang w:val="en-US" w:eastAsia="zh-CN" w:bidi="ar-SA"/>
        </w:rPr>
      </w:pPr>
      <w:r>
        <w:rPr>
          <w:rFonts w:hint="eastAsia" w:ascii="Cambria" w:hAnsi="Cambria" w:eastAsia="宋体" w:cs="Times New Roman"/>
          <w:b/>
          <w:bCs/>
          <w:snapToGrid w:val="0"/>
          <w:color w:val="auto"/>
          <w:kern w:val="0"/>
          <w:sz w:val="22"/>
          <w:szCs w:val="22"/>
          <w:lang w:val="en-US" w:eastAsia="zh-CN" w:bidi="ar-SA"/>
        </w:rPr>
        <w:t>4.4</w:t>
      </w:r>
      <w:r>
        <w:rPr>
          <w:rFonts w:hint="eastAsia" w:ascii="Cambria" w:hAnsi="Cambria" w:eastAsia="宋体" w:cs="Times New Roman"/>
          <w:b/>
          <w:bCs/>
          <w:snapToGrid w:val="0"/>
          <w:color w:val="auto"/>
          <w:kern w:val="0"/>
          <w:sz w:val="22"/>
          <w:szCs w:val="22"/>
          <w:lang w:val="en-US" w:eastAsia="zh-CN" w:bidi="ar-SA"/>
        </w:rPr>
        <w:tab/>
      </w:r>
      <w:r>
        <w:rPr>
          <w:rFonts w:hint="eastAsia" w:ascii="Cambria" w:hAnsi="Cambria" w:eastAsia="宋体" w:cs="Times New Roman"/>
          <w:b/>
          <w:bCs/>
          <w:snapToGrid w:val="0"/>
          <w:color w:val="auto"/>
          <w:kern w:val="0"/>
          <w:sz w:val="22"/>
          <w:szCs w:val="22"/>
          <w:lang w:val="en-US" w:eastAsia="zh-CN" w:bidi="ar-SA"/>
        </w:rPr>
        <w:t>Interpretation of the focal pathway</w:t>
      </w:r>
    </w:p>
    <w:p w14:paraId="17E80E39">
      <w:pPr>
        <w:rPr>
          <w:rFonts w:hint="eastAsia"/>
          <w:lang w:val="en-US" w:eastAsia="zh-CN"/>
        </w:rPr>
      </w:pPr>
    </w:p>
    <w:p w14:paraId="1439717D">
      <w:pPr>
        <w:spacing w:after="0"/>
        <w:jc w:val="both"/>
        <w:rPr>
          <w:rFonts w:hint="eastAsia" w:ascii="Cambria" w:hAnsi="Cambria"/>
          <w:sz w:val="22"/>
          <w:lang w:val="en-US" w:eastAsia="zh-CN"/>
        </w:rPr>
      </w:pPr>
      <w:r>
        <w:rPr>
          <w:rFonts w:hint="eastAsia" w:ascii="Cambria" w:hAnsi="Cambria" w:cs="Cambria"/>
        </w:rPr>
        <w:t>A</w:t>
      </w:r>
      <w:r>
        <w:rPr>
          <w:rFonts w:hint="eastAsia" w:ascii="Cambria" w:hAnsi="Cambria"/>
          <w:sz w:val="22"/>
          <w:lang w:val="en-US" w:eastAsia="zh-CN"/>
        </w:rPr>
        <w:t>ll four hypotheses were supported, but the coefficients indicate a clearly differentiated pathway rather than a uniformly strong mechanism. Emotional intelligence was moderately associated with crystallizing (β = .440, f² = .240), and the model explained 19.3% of the variance in this career construction response. By contrast, crystallizing had only a very small unique effect on vocational identity when emotional intelligence and the other three career construction responses were entered simultaneously (β = .136, f² = .018). The specific indirect association was statistically reliable but small (β = .060), whereas the direct association between emotional intelligence and vocational identity remained significant (β = .181). The focal result therefore reflects an asymmetrical resource–response–identity pattern: emotional functioning was meaningfully associated with vocational self-clarification, but self-clarification accounted for only a limited part of general vocational identity among trainee teachers within the full model.</w:t>
      </w:r>
    </w:p>
    <w:p w14:paraId="1FF226C5">
      <w:pPr>
        <w:spacing w:after="0"/>
        <w:jc w:val="both"/>
        <w:rPr>
          <w:rFonts w:hint="eastAsia" w:ascii="Cambria" w:hAnsi="Cambria"/>
          <w:sz w:val="22"/>
          <w:lang w:val="en-US" w:eastAsia="zh-CN"/>
        </w:rPr>
      </w:pPr>
      <w:r>
        <w:rPr>
          <w:rFonts w:hint="eastAsia" w:ascii="Cambria" w:hAnsi="Cambria"/>
          <w:sz w:val="22"/>
          <w:lang w:val="en-US" w:eastAsia="zh-CN"/>
        </w:rPr>
        <w:t>The moderate association between emotional intelligence and crystallizing is consistent with the view that career construction involves emotional as well as cognitive work. Crystallizing entails developing a clearer vocational self-concept and tentative career direction by integrating personal characteristics, interests, values, goals, and perceived occupational possibilities (Merino-Tejedor et al., 2024; Yılmaz, 2026). Trainee teachers who perceive themselves as better able to understand and regulate emotions may be more capable of sustaining this reflective work and using affective information when evaluating possible vocational directions. This interpretation is consistent with evidence associating emotional intelligence with greater career adaptability and career decision-making self-efficacy, as well as fewer career decision-making difficulties (Parmentier et al., 2022; Pirsoul et al., 2023; Duru &amp; Söner, 2024). These findings concern general career-development processes and do not imply that emotionally intelligent trainee teachers necessarily identify more strongly with teaching as a profession.</w:t>
      </w:r>
    </w:p>
    <w:p w14:paraId="2FF9E8C0">
      <w:pPr>
        <w:spacing w:after="0"/>
        <w:jc w:val="both"/>
        <w:rPr>
          <w:rFonts w:hint="eastAsia" w:ascii="Cambria" w:hAnsi="Cambria"/>
          <w:sz w:val="22"/>
          <w:lang w:val="en-US" w:eastAsia="zh-CN"/>
        </w:rPr>
      </w:pPr>
      <w:r>
        <w:rPr>
          <w:rFonts w:hint="eastAsia" w:ascii="Cambria" w:hAnsi="Cambria"/>
          <w:sz w:val="22"/>
          <w:lang w:val="en-US" w:eastAsia="zh-CN"/>
        </w:rPr>
        <w:t>Nevertheless, the present association does not establish that emotional regulation caused greater vocational self-clarification. Both constructs were assessed through self-report measures at the same point in time, so their covariance may partly reflect common-method processes. It may also capture some conceptual overlap between self-reported emotional intelligence and broader forms of career-related confidence or self-efficacy (Duru &amp; Söner, 2024; Podsakoff et al., 2024). Longitudinal or multi-method evidence would therefore be required to determine whether emotional intelligence precedes changes in crystallizing.</w:t>
      </w:r>
    </w:p>
    <w:p w14:paraId="0578FFAB">
      <w:pPr>
        <w:spacing w:after="0"/>
        <w:jc w:val="both"/>
        <w:rPr>
          <w:rFonts w:hint="eastAsia" w:ascii="Cambria" w:hAnsi="Cambria"/>
          <w:sz w:val="22"/>
          <w:lang w:val="en-US" w:eastAsia="zh-CN"/>
        </w:rPr>
      </w:pPr>
      <w:r>
        <w:rPr>
          <w:rFonts w:hint="eastAsia" w:ascii="Cambria" w:hAnsi="Cambria"/>
          <w:sz w:val="22"/>
          <w:lang w:val="en-US" w:eastAsia="zh-CN"/>
        </w:rPr>
        <w:t xml:space="preserve">The smaller crystallizing-to-vocational-identity path suggests that vocational self-clarification is relevant but insufficient for explaining general vocational identity among trainee teachers. A clearer understanding of personal interests, capabilities, values, and goals can provide a basis for forming a coherent sense of vocational direction. However, vocational identity encompasses more than the reflective clarification captured by crystallizing. Its development may also depend on occupational exploration, decision-making, preparation, prior career experiences, perceived opportunities, social influences, and other personal or contextual resources. The present result therefore qualifies, rather than contradicts, Merino-Tejedor et al.’s (2024) finding that overall career construction is positively associated with vocational identity. When the career construction responses are examined simultaneously, crystallizing appears to make only a small unique contribution beyond emotional intelligence and the other responses. </w:t>
      </w:r>
    </w:p>
    <w:p w14:paraId="033FE3C9">
      <w:pPr>
        <w:spacing w:after="0"/>
        <w:jc w:val="both"/>
        <w:rPr>
          <w:rFonts w:hint="eastAsia" w:ascii="Cambria" w:hAnsi="Cambria"/>
          <w:sz w:val="22"/>
          <w:lang w:val="en-US" w:eastAsia="zh-CN"/>
        </w:rPr>
      </w:pPr>
      <w:r>
        <w:rPr>
          <w:rFonts w:hint="eastAsia" w:ascii="Cambria" w:hAnsi="Cambria"/>
          <w:sz w:val="22"/>
          <w:lang w:val="en-US" w:eastAsia="zh-CN"/>
        </w:rPr>
        <w:t>This interpretation is also compatible with recent evidence that crystallizing forms part of a broader configuration of general career-development responses. Among university students, Yılmaz (2026) found that crystallizing and deciding were prominent within the career construction profile associated with career adaptability, but the redundancy indices indicated that the two sets of variables shared only a modest proportion of variance. Although career adaptability is distinct from vocational identity, this finding supports the more limited proposition that vocational self-clarification operates alongside other career-development processes rather than functioning as a comprehensive explanation of career outcomes. Accordingly, the present coefficient should be understood as the unique association of crystallizing with general vocational identity after the remaining career construction responses have been controlled.</w:t>
      </w:r>
    </w:p>
    <w:p w14:paraId="517C1878">
      <w:pPr>
        <w:spacing w:after="0"/>
        <w:jc w:val="both"/>
        <w:rPr>
          <w:rFonts w:hint="eastAsia" w:ascii="Cambria" w:hAnsi="Cambria"/>
          <w:sz w:val="22"/>
          <w:lang w:val="en-US" w:eastAsia="zh-CN"/>
        </w:rPr>
      </w:pPr>
      <w:r>
        <w:rPr>
          <w:rFonts w:hint="eastAsia" w:ascii="Cambria" w:hAnsi="Cambria"/>
          <w:sz w:val="22"/>
          <w:lang w:val="en-US" w:eastAsia="zh-CN"/>
        </w:rPr>
        <w:t>The status of the participants as trainee teachers defines the population in which the relationships were observed, but it does not change the meaning of the measured outcome. In the present study, vocational identity refers to the clarity and coherence of participants’ broader occupational self-definition and direction. It should not be interpreted as teacher professional identity, identification with the social or institutional role of a teacher, or commitment to entering or remaining in the teaching profession. Establishing those claims would require a teaching-specific identity or occupational commitment measure. The results therefore show that crystallizing is associated with general vocational identity among students enrolled in teacher education, not that it produces a stronger teacher identity.</w:t>
      </w:r>
    </w:p>
    <w:p w14:paraId="731D83CD">
      <w:pPr>
        <w:spacing w:after="0"/>
        <w:jc w:val="both"/>
        <w:rPr>
          <w:rFonts w:hint="eastAsia" w:ascii="Cambria" w:hAnsi="Cambria"/>
          <w:sz w:val="22"/>
          <w:lang w:val="en-US" w:eastAsia="zh-CN"/>
        </w:rPr>
      </w:pPr>
      <w:r>
        <w:rPr>
          <w:rFonts w:hint="eastAsia" w:ascii="Cambria" w:hAnsi="Cambria"/>
          <w:sz w:val="22"/>
          <w:lang w:val="en-US" w:eastAsia="zh-CN"/>
        </w:rPr>
        <w:t>The positive specific indirect effect refines, rather than simply repeats, earlier evidence. Merino-Tejedor et al. (2024) demonstrated a broader mediating role of career construction in the association between trait emotional intelligence and general vocational identity among university students, whereas the present analysis identifies crystallizing as one statistically distinguishable route within that broader process in a trainee-teacher sample. The persistence of the direct emotional-intelligence-to-vocational-identity association is statistically consistent with complementary partial mediation. However, this remaining association should not be attributed to exploring, deciding, or preparing, because these responses were already included as parallel mediators in the model. It may instead reflect emotional, motivational, relational, or contextual mechanisms that were not measured.</w:t>
      </w:r>
    </w:p>
    <w:p w14:paraId="02210CED">
      <w:pPr>
        <w:spacing w:after="0"/>
        <w:jc w:val="both"/>
        <w:rPr>
          <w:rFonts w:hint="eastAsia" w:ascii="Cambria" w:hAnsi="Cambria"/>
          <w:sz w:val="22"/>
          <w:lang w:val="en-US" w:eastAsia="zh-CN"/>
        </w:rPr>
      </w:pPr>
      <w:r>
        <w:rPr>
          <w:rFonts w:hint="eastAsia" w:ascii="Cambria" w:hAnsi="Cambria"/>
          <w:sz w:val="22"/>
          <w:lang w:val="en-US" w:eastAsia="zh-CN"/>
        </w:rPr>
        <w:t>For example, Duru and Gültekin (2026) found that hope and career adaptability sequentially mediated the association between trait emotional intelligence and vocational outcome expectations among preservice teachers. Vocational outcome expectations are distinct from vocational identity, so this finding does not provide direct evidence about the present outcome. It nevertheless offers adjacent evidence that emotional intelligence may relate to general vocational development through career-related resources beyond the construction responses included in the current model. Such possibilities require direct examination rather than being inferred from the remaining direct coefficient.</w:t>
      </w:r>
    </w:p>
    <w:p w14:paraId="2FDDA3BB">
      <w:pPr>
        <w:spacing w:after="0"/>
        <w:jc w:val="both"/>
        <w:rPr>
          <w:rFonts w:hint="eastAsia" w:ascii="Cambria" w:hAnsi="Cambria"/>
          <w:sz w:val="22"/>
          <w:lang w:val="en-US" w:eastAsia="zh-CN"/>
        </w:rPr>
      </w:pPr>
      <w:r>
        <w:rPr>
          <w:rFonts w:hint="eastAsia" w:ascii="Cambria" w:hAnsi="Cambria"/>
          <w:sz w:val="22"/>
          <w:lang w:val="en-US" w:eastAsia="zh-CN"/>
        </w:rPr>
        <w:t>Overall, the interpretation is that emotional intelligence may be related to general vocational identity partly through its association with vocational self-clarification. However, the small specific indirect coefficient does not justify presenting crystallizing as a dominant explanatory mechanism. The focal indirect effect should be interpreted as small, conditional on the other career construction responses, specific to general vocational identity among trainee teachers, and noncausal.</w:t>
      </w:r>
    </w:p>
    <w:p w14:paraId="48F4D336">
      <w:pPr>
        <w:spacing w:after="0"/>
        <w:jc w:val="both"/>
        <w:rPr>
          <w:rFonts w:hint="eastAsia" w:ascii="Cambria" w:hAnsi="Cambria"/>
          <w:sz w:val="22"/>
          <w:lang w:val="en-US" w:eastAsia="zh-CN"/>
        </w:rPr>
      </w:pPr>
    </w:p>
    <w:p w14:paraId="426BEE6C">
      <w:pPr>
        <w:pStyle w:val="3"/>
        <w:keepNext/>
        <w:spacing w:line="240" w:lineRule="auto"/>
        <w:rPr>
          <w:rFonts w:hint="eastAsia" w:ascii="Cambria" w:hAnsi="Cambria" w:eastAsia="宋体" w:cs="Times New Roman"/>
          <w:b/>
          <w:bCs/>
          <w:snapToGrid w:val="0"/>
          <w:color w:val="auto"/>
          <w:kern w:val="0"/>
          <w:sz w:val="22"/>
          <w:szCs w:val="22"/>
          <w:lang w:val="en-US" w:eastAsia="zh-CN" w:bidi="ar-SA"/>
        </w:rPr>
      </w:pPr>
      <w:r>
        <w:rPr>
          <w:rFonts w:hint="eastAsia" w:ascii="Cambria" w:hAnsi="Cambria" w:eastAsia="宋体" w:cs="Times New Roman"/>
          <w:b/>
          <w:bCs/>
          <w:snapToGrid w:val="0"/>
          <w:color w:val="auto"/>
          <w:kern w:val="0"/>
          <w:sz w:val="22"/>
          <w:szCs w:val="22"/>
          <w:lang w:val="en-US" w:eastAsia="zh-CN" w:bidi="ar-SA"/>
        </w:rPr>
        <w:t>4.5 Theoretical implications</w:t>
      </w:r>
    </w:p>
    <w:p w14:paraId="156E16A0">
      <w:pPr>
        <w:rPr>
          <w:rFonts w:hint="eastAsia"/>
          <w:lang w:val="en-US" w:eastAsia="zh-CN"/>
        </w:rPr>
      </w:pPr>
    </w:p>
    <w:p w14:paraId="78751DE0">
      <w:pPr>
        <w:spacing w:after="0"/>
        <w:jc w:val="both"/>
        <w:rPr>
          <w:rFonts w:hint="eastAsia" w:ascii="Cambria" w:hAnsi="Cambria"/>
          <w:sz w:val="22"/>
          <w:lang w:val="en-US" w:eastAsia="zh-CN"/>
        </w:rPr>
      </w:pPr>
      <w:r>
        <w:rPr>
          <w:rFonts w:hint="eastAsia" w:ascii="Cambria" w:hAnsi="Cambria"/>
          <w:sz w:val="22"/>
          <w:lang w:val="en-US" w:eastAsia="zh-CN"/>
        </w:rPr>
        <w:t>The findings are compatible with the resource-response-identity logic of Career Construction Theory: emotional intelligence was positioned as a broad career-relevant personal resource, crystallizing as an adapting response, and vocational identity as an adaptation-related outcome. More importantly, separating crystallizing from exploring, deciding, and preparing shows why career construction responses should not automatically be treated as an undifferentiated mediator. The moderate EI to crystallizing association and the small unique crystallizing to VI association reveal that a resource may be strongly related to an adaptive response even when that response contributes only modestly to identity after related processes are controlled. This distinction prevents statistical significance from being equated with substantive dominance. At the same time, the results do not establish emotional intelligence as a career-adaptability resource in the original technical sense, nor do they verify a fixed developmental sequence; they provide evidence compatible with, rather than definitive proof of, the proposed theoretical ordering.</w:t>
      </w:r>
    </w:p>
    <w:p w14:paraId="00E4CFF3">
      <w:pPr>
        <w:keepNext w:val="0"/>
        <w:keepLines w:val="0"/>
        <w:pageBreakBefore w:val="0"/>
        <w:widowControl/>
        <w:kinsoku/>
        <w:wordWrap/>
        <w:overflowPunct/>
        <w:topLinePunct w:val="0"/>
        <w:autoSpaceDE/>
        <w:autoSpaceDN/>
        <w:bidi w:val="0"/>
        <w:adjustRightInd w:val="0"/>
        <w:snapToGrid w:val="0"/>
        <w:spacing w:before="0" w:after="160" w:line="240" w:lineRule="auto"/>
        <w:ind w:right="0"/>
        <w:jc w:val="both"/>
        <w:textAlignment w:val="auto"/>
        <w:rPr>
          <w:rFonts w:hint="eastAsia" w:ascii="Cambria" w:hAnsi="Cambria" w:cs="Cambria"/>
        </w:rPr>
      </w:pPr>
    </w:p>
    <w:p w14:paraId="220D82AD">
      <w:pPr>
        <w:pStyle w:val="3"/>
        <w:keepNext/>
        <w:spacing w:line="240" w:lineRule="auto"/>
        <w:rPr>
          <w:rFonts w:hint="eastAsia" w:ascii="Cambria" w:hAnsi="Cambria" w:eastAsia="宋体" w:cs="Times New Roman"/>
          <w:b/>
          <w:bCs/>
          <w:snapToGrid w:val="0"/>
          <w:color w:val="auto"/>
          <w:kern w:val="0"/>
          <w:sz w:val="22"/>
          <w:szCs w:val="22"/>
          <w:lang w:val="en-US" w:eastAsia="zh-CN" w:bidi="ar-SA"/>
        </w:rPr>
      </w:pPr>
      <w:r>
        <w:rPr>
          <w:rFonts w:hint="eastAsia" w:ascii="Cambria" w:hAnsi="Cambria" w:eastAsia="宋体" w:cs="Times New Roman"/>
          <w:b/>
          <w:bCs/>
          <w:snapToGrid w:val="0"/>
          <w:color w:val="auto"/>
          <w:kern w:val="0"/>
          <w:sz w:val="22"/>
          <w:szCs w:val="22"/>
          <w:lang w:val="en-US" w:eastAsia="zh-CN" w:bidi="ar-SA"/>
        </w:rPr>
        <w:t>4.6 Practical implications</w:t>
      </w:r>
    </w:p>
    <w:p w14:paraId="5F449E61">
      <w:pPr>
        <w:rPr>
          <w:rFonts w:hint="eastAsia"/>
          <w:lang w:val="en-US" w:eastAsia="zh-CN"/>
        </w:rPr>
      </w:pPr>
    </w:p>
    <w:p w14:paraId="4D382F2D">
      <w:pPr>
        <w:spacing w:after="0"/>
        <w:jc w:val="both"/>
        <w:rPr>
          <w:rFonts w:hint="eastAsia" w:ascii="Cambria" w:hAnsi="Cambria"/>
          <w:sz w:val="22"/>
          <w:lang w:val="en-US" w:eastAsia="zh-CN"/>
        </w:rPr>
      </w:pPr>
      <w:r>
        <w:rPr>
          <w:rFonts w:hint="eastAsia" w:ascii="Cambria" w:hAnsi="Cambria"/>
          <w:sz w:val="22"/>
          <w:lang w:val="en-US" w:eastAsia="zh-CN"/>
        </w:rPr>
        <w:t>Teacher-education programmes may integrate emotional reflection with domain-general career support that helps students clarify their interests, abilities, values, and goals, explore diverse career possibilities, and reflect on educational and field experiences. However, given the modest effect sizes, cross-sectional design, and domain-general nature of the VISA, the findings do not show that such activities improve fit with teaching, teacher professional identity, or commitment to teaching. Emotional intelligence and crystallizing should therefore complement reliable career information, experiential learning, programme support, and realistic opportunities, with the aim of facilitating informed and authentic vocational choices rather than commitment to a particular occupation.</w:t>
      </w:r>
    </w:p>
    <w:p w14:paraId="149F087B">
      <w:pPr>
        <w:keepNext w:val="0"/>
        <w:keepLines w:val="0"/>
        <w:pageBreakBefore w:val="0"/>
        <w:widowControl/>
        <w:kinsoku/>
        <w:wordWrap/>
        <w:overflowPunct/>
        <w:topLinePunct w:val="0"/>
        <w:autoSpaceDE/>
        <w:autoSpaceDN/>
        <w:bidi w:val="0"/>
        <w:adjustRightInd w:val="0"/>
        <w:snapToGrid w:val="0"/>
        <w:spacing w:before="0" w:after="160" w:line="240" w:lineRule="auto"/>
        <w:ind w:right="0"/>
        <w:jc w:val="both"/>
        <w:textAlignment w:val="auto"/>
        <w:rPr>
          <w:rFonts w:hint="eastAsia" w:ascii="Cambria" w:hAnsi="Cambria" w:cs="Cambria"/>
        </w:rPr>
      </w:pPr>
    </w:p>
    <w:p w14:paraId="2316FEE8">
      <w:pPr>
        <w:pStyle w:val="3"/>
        <w:keepNext/>
        <w:spacing w:line="240" w:lineRule="auto"/>
        <w:rPr>
          <w:rFonts w:hint="eastAsia" w:ascii="Cambria" w:hAnsi="Cambria" w:eastAsia="宋体" w:cs="Times New Roman"/>
          <w:b/>
          <w:bCs/>
          <w:snapToGrid w:val="0"/>
          <w:color w:val="auto"/>
          <w:kern w:val="0"/>
          <w:sz w:val="22"/>
          <w:szCs w:val="22"/>
          <w:lang w:val="en-US" w:eastAsia="zh-CN" w:bidi="ar-SA"/>
        </w:rPr>
      </w:pPr>
      <w:r>
        <w:rPr>
          <w:rFonts w:hint="eastAsia" w:ascii="Cambria" w:hAnsi="Cambria" w:eastAsia="宋体" w:cs="Times New Roman"/>
          <w:b/>
          <w:bCs/>
          <w:snapToGrid w:val="0"/>
          <w:color w:val="auto"/>
          <w:kern w:val="0"/>
          <w:sz w:val="22"/>
          <w:szCs w:val="22"/>
          <w:lang w:val="en-US" w:eastAsia="zh-CN" w:bidi="ar-SA"/>
        </w:rPr>
        <w:t>4.7 Limitations and future research</w:t>
      </w:r>
    </w:p>
    <w:p w14:paraId="358CC614">
      <w:pPr>
        <w:rPr>
          <w:rFonts w:hint="eastAsia"/>
          <w:lang w:val="en-US" w:eastAsia="zh-CN"/>
        </w:rPr>
      </w:pPr>
    </w:p>
    <w:p w14:paraId="6F5220F8">
      <w:pPr>
        <w:spacing w:after="0"/>
        <w:jc w:val="both"/>
        <w:rPr>
          <w:rFonts w:hint="eastAsia" w:ascii="Cambria" w:hAnsi="Cambria"/>
          <w:sz w:val="22"/>
          <w:lang w:val="en-US" w:eastAsia="zh-CN"/>
        </w:rPr>
      </w:pPr>
      <w:r>
        <w:rPr>
          <w:rFonts w:hint="eastAsia" w:ascii="Cambria" w:hAnsi="Cambria"/>
          <w:sz w:val="22"/>
          <w:lang w:val="en-US" w:eastAsia="zh-CN"/>
        </w:rPr>
        <w:t>Several limitations constrain the conclusions. First, the cross-sectional, single-source self-report design precludes temporal and causal inference and does not eliminate potential common method variance, despite anonymity and full-collinearity diagnostics. Longitudinal, intervention, repeated-measures, and multi-source studies are therefore needed. Second, the non-probability sample was drawn from six institutions in one Chinese province, limiting generalizability. Institution-level clustering and measurement invariance were not assessed, and University E was disproportionately represented. The pooled estimates may therefore reflect unmodelled institutional differences and be weighted toward the association pattern at University E. Replication using more balanced samples across provinces, institutional types, and labour-market contexts is required. Third, vocational identity was modelled as a single reflective construct, although the VISA distinguishes commitment, exploration, and reconsideration. Multidimensional and higher-order specifications should therefore be examined. Finally, the stability of the focal coefficients across alternative model specifications and formal contrasts among the four specific indirect effects remain untested.</w:t>
      </w:r>
    </w:p>
    <w:p w14:paraId="3500D19F">
      <w:pPr>
        <w:rPr>
          <w:rFonts w:hint="eastAsia"/>
          <w:lang w:val="en-US" w:eastAsia="zh-CN"/>
        </w:rPr>
      </w:pPr>
    </w:p>
    <w:p w14:paraId="2B95713A">
      <w:pPr>
        <w:rPr>
          <w:rFonts w:hint="eastAsia"/>
          <w:lang w:val="en-US" w:eastAsia="zh-CN"/>
        </w:rPr>
      </w:pPr>
    </w:p>
    <w:p w14:paraId="4D5EBD19">
      <w:pPr>
        <w:pStyle w:val="2"/>
        <w:numPr>
          <w:ilvl w:val="0"/>
          <w:numId w:val="1"/>
        </w:numPr>
        <w:spacing w:before="0" w:after="0"/>
        <w:rPr>
          <w:rFonts w:hint="eastAsia" w:ascii="Cambria" w:hAnsi="Cambria"/>
          <w:szCs w:val="22"/>
        </w:rPr>
      </w:pPr>
      <w:r>
        <w:rPr>
          <w:rFonts w:hint="eastAsia" w:ascii="Cambria" w:hAnsi="Cambria"/>
          <w:szCs w:val="22"/>
        </w:rPr>
        <w:t>CONCLUSION</w:t>
      </w:r>
    </w:p>
    <w:p w14:paraId="405169D5">
      <w:pPr>
        <w:numPr>
          <w:ilvl w:val="0"/>
          <w:numId w:val="0"/>
        </w:numPr>
        <w:ind w:leftChars="0"/>
      </w:pPr>
    </w:p>
    <w:p w14:paraId="4CFBF599">
      <w:pPr>
        <w:spacing w:after="0"/>
        <w:jc w:val="both"/>
        <w:rPr>
          <w:rFonts w:hint="eastAsia" w:ascii="Cambria" w:hAnsi="Cambria"/>
          <w:sz w:val="22"/>
          <w:lang w:val="en-US" w:eastAsia="zh-CN"/>
        </w:rPr>
      </w:pPr>
      <w:r>
        <w:rPr>
          <w:rFonts w:hint="eastAsia" w:ascii="Cambria" w:hAnsi="Cambria"/>
          <w:sz w:val="22"/>
          <w:lang w:val="en-US" w:eastAsia="zh-CN"/>
        </w:rPr>
        <w:t>Overall, the findings support a qualified resource–response–identity interpretation. Emotional intelligence was meaningfully associated with vocational self-clarification during an early, experience-limited stage of career construction, but crystallizing accounted for only a small part of its association with vocational identity. The direct association was larger than the focal specific indirect association, indicating that the crystallizing pathway was not the dominant statistical explanation in this model. Nevertheless, the cross-sectional design cannot establish temporal or causal mediation, and reciprocal relationships remain possible. Longitudinal research following students before and after practicum experience is needed to determine how emotional intelligence, career construction responses, and vocational identity develop over time and whether these processes differ between students considering teaching and those considering other occupational directions.</w:t>
      </w:r>
    </w:p>
    <w:p w14:paraId="06808210">
      <w:pPr>
        <w:spacing w:after="0"/>
        <w:jc w:val="both"/>
        <w:rPr>
          <w:rFonts w:hint="eastAsia" w:ascii="Cambria" w:hAnsi="Cambria"/>
          <w:sz w:val="22"/>
          <w:lang w:val="en-US" w:eastAsia="zh-CN"/>
        </w:rPr>
      </w:pPr>
    </w:p>
    <w:p w14:paraId="5C5C752E">
      <w:pPr>
        <w:spacing w:after="0"/>
        <w:jc w:val="both"/>
        <w:rPr>
          <w:rFonts w:hint="eastAsia" w:ascii="Cambria" w:hAnsi="Cambria"/>
          <w:sz w:val="22"/>
          <w:lang w:val="en-US" w:eastAsia="zh-CN"/>
        </w:rPr>
      </w:pPr>
    </w:p>
    <w:p w14:paraId="4F934754">
      <w:pPr>
        <w:spacing w:after="0"/>
        <w:rPr>
          <w:rFonts w:ascii="Cambria" w:hAnsi="Cambria"/>
          <w:b/>
          <w:sz w:val="22"/>
          <w:lang w:val="en-GB"/>
        </w:rPr>
      </w:pPr>
      <w:r>
        <w:rPr>
          <w:rFonts w:ascii="Cambria" w:hAnsi="Cambria"/>
          <w:b/>
          <w:sz w:val="22"/>
          <w:lang w:val="en-GB"/>
        </w:rPr>
        <w:t>CITATION AND REFERENCES</w:t>
      </w:r>
    </w:p>
    <w:p w14:paraId="6B951C99">
      <w:pPr>
        <w:spacing w:after="0"/>
        <w:rPr>
          <w:rFonts w:ascii="Cambria" w:hAnsi="Cambria"/>
          <w:b/>
          <w:sz w:val="22"/>
          <w:lang w:val="en-GB"/>
        </w:rPr>
      </w:pPr>
    </w:p>
    <w:p w14:paraId="4B2F8CBB">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outlineLvl w:val="9"/>
        <w:rPr>
          <w:rFonts w:hint="default" w:ascii="Cambria" w:hAnsi="Cambria" w:cs="Cambria"/>
          <w:sz w:val="22"/>
          <w:szCs w:val="22"/>
        </w:rPr>
      </w:pPr>
      <w:r>
        <w:rPr>
          <w:rFonts w:hint="default" w:ascii="Cambria" w:hAnsi="Cambria" w:eastAsia="宋体" w:cs="Cambria"/>
          <w:b w:val="0"/>
          <w:i w:val="0"/>
          <w:sz w:val="22"/>
          <w:szCs w:val="22"/>
          <w:lang w:val="en-US" w:eastAsia="zh-CN"/>
        </w:rPr>
        <w:t xml:space="preserve">CPC Central Committee, &amp; State Council. (2018, January 20). </w:t>
      </w:r>
      <w:r>
        <w:rPr>
          <w:rFonts w:hint="default" w:ascii="Cambria" w:hAnsi="Cambria" w:eastAsia="宋体" w:cs="Cambria"/>
          <w:b w:val="0"/>
          <w:i/>
          <w:sz w:val="22"/>
          <w:szCs w:val="22"/>
          <w:lang w:val="en-US" w:eastAsia="zh-CN"/>
        </w:rPr>
        <w:t>Opinions on comprehensively deepening the reform of teacher workforce development in the new era</w:t>
      </w:r>
      <w:r>
        <w:rPr>
          <w:rFonts w:hint="default" w:ascii="Cambria" w:hAnsi="Cambria" w:eastAsia="宋体" w:cs="Cambria"/>
          <w:b w:val="0"/>
          <w:i w:val="0"/>
          <w:sz w:val="22"/>
          <w:szCs w:val="22"/>
          <w:lang w:val="en-US" w:eastAsia="zh-CN"/>
        </w:rPr>
        <w:t>. Ministry of Education of the People’s Republic of China.</w:t>
      </w:r>
    </w:p>
    <w:p w14:paraId="79FC0DD8">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https://www.moe.gov.cn/jyb_xxgk/moe_1777/moe_1778/201801/t20180131_326144.html</w:t>
      </w:r>
    </w:p>
    <w:p w14:paraId="53D56292">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CPC Central Committee, &amp; State Council. (2024, August 6). </w:t>
      </w:r>
      <w:r>
        <w:rPr>
          <w:rFonts w:hint="default" w:ascii="Cambria" w:hAnsi="Cambria" w:eastAsia="宋体" w:cs="Cambria"/>
          <w:b w:val="0"/>
          <w:i/>
          <w:sz w:val="22"/>
          <w:szCs w:val="22"/>
          <w:lang w:val="en-US" w:eastAsia="zh-CN"/>
        </w:rPr>
        <w:t>Opinions on promoting the educator spirit and strengthening the development of a high-quality professional teacher workforce in the new era</w:t>
      </w:r>
      <w:r>
        <w:rPr>
          <w:rFonts w:hint="default" w:ascii="Cambria" w:hAnsi="Cambria" w:eastAsia="宋体" w:cs="Cambria"/>
          <w:b w:val="0"/>
          <w:i w:val="0"/>
          <w:sz w:val="22"/>
          <w:szCs w:val="22"/>
          <w:lang w:val="en-US" w:eastAsia="zh-CN"/>
        </w:rPr>
        <w:t>. Ministry of Education of the People’s Republic of China.</w:t>
      </w:r>
    </w:p>
    <w:p w14:paraId="05CCFF38">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https://www.moe.gov.cn/jyb_xxgk/moe_1777/moe_1778/202408/t20240826_1147269.html</w:t>
      </w:r>
    </w:p>
    <w:p w14:paraId="369E54AD">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Dai, F., Xu, L., &amp; Zhu, Y. (2022). Higher education expansion and supply of teachers in China. </w:t>
      </w:r>
      <w:r>
        <w:rPr>
          <w:rFonts w:hint="default" w:ascii="Cambria" w:hAnsi="Cambria" w:eastAsia="宋体" w:cs="Cambria"/>
          <w:b w:val="0"/>
          <w:i/>
          <w:sz w:val="22"/>
          <w:szCs w:val="22"/>
          <w:lang w:val="en-US" w:eastAsia="zh-CN"/>
        </w:rPr>
        <w:t>China Economic Review, 71</w:t>
      </w:r>
      <w:r>
        <w:rPr>
          <w:rFonts w:hint="default" w:ascii="Cambria" w:hAnsi="Cambria" w:eastAsia="宋体" w:cs="Cambria"/>
          <w:b w:val="0"/>
          <w:i w:val="0"/>
          <w:sz w:val="22"/>
          <w:szCs w:val="22"/>
          <w:lang w:val="en-US" w:eastAsia="zh-CN"/>
        </w:rPr>
        <w:t>, Article 101732.</w:t>
      </w:r>
    </w:p>
    <w:p w14:paraId="4307B5E4">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https://doi.org/10.1016/j.chieco.2021.101732</w:t>
      </w:r>
    </w:p>
    <w:p w14:paraId="00B33451">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Duru, H., &amp; Gültekin, F. (2026). Trait emotional intelligence and vocational outcome expectations among Turkish preservice teachers: Serial mediating role of hope and career adaptability. </w:t>
      </w:r>
      <w:r>
        <w:rPr>
          <w:rFonts w:hint="default" w:ascii="Cambria" w:hAnsi="Cambria" w:eastAsia="宋体" w:cs="Cambria"/>
          <w:b w:val="0"/>
          <w:i/>
          <w:sz w:val="22"/>
          <w:szCs w:val="22"/>
          <w:lang w:val="en-US" w:eastAsia="zh-CN"/>
        </w:rPr>
        <w:t>Frontiers in Psychology, 17</w:t>
      </w:r>
      <w:r>
        <w:rPr>
          <w:rFonts w:hint="default" w:ascii="Cambria" w:hAnsi="Cambria" w:eastAsia="宋体" w:cs="Cambria"/>
          <w:b w:val="0"/>
          <w:i w:val="0"/>
          <w:sz w:val="22"/>
          <w:szCs w:val="22"/>
          <w:lang w:val="en-US" w:eastAsia="zh-CN"/>
        </w:rPr>
        <w:t>, Article 1770725.</w:t>
      </w:r>
    </w:p>
    <w:p w14:paraId="4E31F682">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https://doi.org/10.3389/fpsyg.2026.1770725</w:t>
      </w:r>
    </w:p>
    <w:p w14:paraId="4C2C4310">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Duru, H., &amp; Söner, O. (2024). The relationship between career decision-making self-efficacy and emotional intelligence, career optimism, locus of control and proactive personality: A meta-analysis study. </w:t>
      </w:r>
      <w:r>
        <w:rPr>
          <w:rFonts w:hint="default" w:ascii="Cambria" w:hAnsi="Cambria" w:eastAsia="宋体" w:cs="Cambria"/>
          <w:b w:val="0"/>
          <w:i/>
          <w:sz w:val="22"/>
          <w:szCs w:val="22"/>
          <w:lang w:val="en-US" w:eastAsia="zh-CN"/>
        </w:rPr>
        <w:t>Canadian Journal of Career Development, 23</w:t>
      </w:r>
      <w:r>
        <w:rPr>
          <w:rFonts w:hint="default" w:ascii="Cambria" w:hAnsi="Cambria" w:eastAsia="宋体" w:cs="Cambria"/>
          <w:b w:val="0"/>
          <w:i w:val="0"/>
          <w:sz w:val="22"/>
          <w:szCs w:val="22"/>
          <w:lang w:val="en-US" w:eastAsia="zh-CN"/>
        </w:rPr>
        <w:t>(1), 6–32.</w:t>
      </w:r>
    </w:p>
    <w:p w14:paraId="4C13998C">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https://doi.org/10.53379/cjcd.2024.376</w:t>
      </w:r>
    </w:p>
    <w:p w14:paraId="4D473AE4">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Hair, J. F., Hult, G. T. M., Ringle, C. M., &amp; Sarstedt, M. (2022). </w:t>
      </w:r>
      <w:r>
        <w:rPr>
          <w:rFonts w:hint="default" w:ascii="Cambria" w:hAnsi="Cambria" w:eastAsia="宋体" w:cs="Cambria"/>
          <w:b w:val="0"/>
          <w:i/>
          <w:sz w:val="22"/>
          <w:szCs w:val="22"/>
          <w:lang w:val="en-US" w:eastAsia="zh-CN"/>
        </w:rPr>
        <w:t>A primer on partial least squares structural equation modeling (PLS-SEM)</w:t>
      </w:r>
      <w:r>
        <w:rPr>
          <w:rFonts w:hint="default" w:ascii="Cambria" w:hAnsi="Cambria" w:eastAsia="宋体" w:cs="Cambria"/>
          <w:b w:val="0"/>
          <w:i w:val="0"/>
          <w:sz w:val="22"/>
          <w:szCs w:val="22"/>
          <w:lang w:val="en-US" w:eastAsia="zh-CN"/>
        </w:rPr>
        <w:t xml:space="preserve"> (3rd ed.). SAGE Publications.</w:t>
      </w:r>
    </w:p>
    <w:p w14:paraId="2FF434F8">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Hunzicker, J. (2018). Professional development schools: An overview and brief history. In J. Hunzicker (Ed.), </w:t>
      </w:r>
      <w:r>
        <w:rPr>
          <w:rFonts w:hint="default" w:ascii="Cambria" w:hAnsi="Cambria" w:eastAsia="宋体" w:cs="Cambria"/>
          <w:b w:val="0"/>
          <w:i/>
          <w:sz w:val="22"/>
          <w:szCs w:val="22"/>
          <w:lang w:val="en-US" w:eastAsia="zh-CN"/>
        </w:rPr>
        <w:t>Teacher leadership in professional development schools</w:t>
      </w:r>
      <w:r>
        <w:rPr>
          <w:rFonts w:hint="default" w:ascii="Cambria" w:hAnsi="Cambria" w:eastAsia="宋体" w:cs="Cambria"/>
          <w:b w:val="0"/>
          <w:i w:val="0"/>
          <w:sz w:val="22"/>
          <w:szCs w:val="22"/>
          <w:lang w:val="en-US" w:eastAsia="zh-CN"/>
        </w:rPr>
        <w:t xml:space="preserve"> (pp. 1–17). Emerald Publishing.</w:t>
      </w:r>
    </w:p>
    <w:p w14:paraId="0BEB2085">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Jiang, X., Li, Y., Hou, Y., Chima, N., &amp; Yang, J. (2022). The reliability and validity of a Chinese version of the Student Career Construction Inventory. </w:t>
      </w:r>
      <w:r>
        <w:rPr>
          <w:rFonts w:hint="default" w:ascii="Cambria" w:hAnsi="Cambria" w:eastAsia="宋体" w:cs="Cambria"/>
          <w:b w:val="0"/>
          <w:i/>
          <w:sz w:val="22"/>
          <w:szCs w:val="22"/>
          <w:lang w:val="en-US" w:eastAsia="zh-CN"/>
        </w:rPr>
        <w:t>Social Behavior and Personality: An International Journal, 50</w:t>
      </w:r>
      <w:r>
        <w:rPr>
          <w:rFonts w:hint="default" w:ascii="Cambria" w:hAnsi="Cambria" w:eastAsia="宋体" w:cs="Cambria"/>
          <w:b w:val="0"/>
          <w:i w:val="0"/>
          <w:sz w:val="22"/>
          <w:szCs w:val="22"/>
          <w:lang w:val="en-US" w:eastAsia="zh-CN"/>
        </w:rPr>
        <w:t>(5), Article e11421.</w:t>
      </w:r>
    </w:p>
    <w:p w14:paraId="03D65EC8">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https://doi.org/10.2224/sbp.11421</w:t>
      </w:r>
    </w:p>
    <w:p w14:paraId="2015741C">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Jilin Provincial Development Research Center. (2023). </w:t>
      </w:r>
      <w:r>
        <w:rPr>
          <w:rFonts w:hint="default" w:ascii="Cambria" w:hAnsi="Cambria" w:eastAsia="宋体" w:cs="Cambria"/>
          <w:b w:val="0"/>
          <w:i/>
          <w:sz w:val="22"/>
          <w:szCs w:val="22"/>
          <w:lang w:val="en-US" w:eastAsia="zh-CN"/>
        </w:rPr>
        <w:t>Analysis report on the employment situation of college graduates in Jilin Province</w:t>
      </w:r>
      <w:r>
        <w:rPr>
          <w:rFonts w:hint="default" w:ascii="Cambria" w:hAnsi="Cambria" w:eastAsia="宋体" w:cs="Cambria"/>
          <w:b w:val="0"/>
          <w:i w:val="0"/>
          <w:sz w:val="22"/>
          <w:szCs w:val="22"/>
          <w:lang w:val="en-US" w:eastAsia="zh-CN"/>
        </w:rPr>
        <w:t>.</w:t>
      </w:r>
    </w:p>
    <w:p w14:paraId="2E8146AA">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https://fzzx.jl.gov.cn/yjcg/202401/t20240112_8863336.html</w:t>
      </w:r>
    </w:p>
    <w:p w14:paraId="69BD576F">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Jilin Provincial People’s Government. (2022). </w:t>
      </w:r>
      <w:r>
        <w:rPr>
          <w:rFonts w:hint="default" w:ascii="Cambria" w:hAnsi="Cambria" w:eastAsia="宋体" w:cs="Cambria"/>
          <w:b w:val="0"/>
          <w:i/>
          <w:sz w:val="22"/>
          <w:szCs w:val="22"/>
          <w:lang w:val="en-US" w:eastAsia="zh-CN"/>
        </w:rPr>
        <w:t>14th Five-Year education development plan of Jilin Province</w:t>
      </w:r>
      <w:r>
        <w:rPr>
          <w:rFonts w:hint="default" w:ascii="Cambria" w:hAnsi="Cambria" w:eastAsia="宋体" w:cs="Cambria"/>
          <w:b w:val="0"/>
          <w:i w:val="0"/>
          <w:sz w:val="22"/>
          <w:szCs w:val="22"/>
          <w:lang w:val="en-US" w:eastAsia="zh-CN"/>
        </w:rPr>
        <w:t>.</w:t>
      </w:r>
    </w:p>
    <w:p w14:paraId="7479471A">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https://xxgk.jl.gov.cn/szf/gkml/202206/W020220609512976834693.pdf</w:t>
      </w:r>
    </w:p>
    <w:p w14:paraId="7511B932">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Kim, Y., Lee, Y., &amp; Yang, E. (2023). Vocational identity of emerging adults: The inter-relationships of vocational identity dimensions. </w:t>
      </w:r>
      <w:r>
        <w:rPr>
          <w:rFonts w:hint="default" w:ascii="Cambria" w:hAnsi="Cambria" w:eastAsia="宋体" w:cs="Cambria"/>
          <w:b w:val="0"/>
          <w:i/>
          <w:sz w:val="22"/>
          <w:szCs w:val="22"/>
          <w:lang w:val="en-US" w:eastAsia="zh-CN"/>
        </w:rPr>
        <w:t>Journal of Adult Development, 30</w:t>
      </w:r>
      <w:r>
        <w:rPr>
          <w:rFonts w:hint="default" w:ascii="Cambria" w:hAnsi="Cambria" w:eastAsia="宋体" w:cs="Cambria"/>
          <w:b w:val="0"/>
          <w:i w:val="0"/>
          <w:sz w:val="22"/>
          <w:szCs w:val="22"/>
          <w:lang w:val="en-US" w:eastAsia="zh-CN"/>
        </w:rPr>
        <w:t>(4), 347–358.</w:t>
      </w:r>
    </w:p>
    <w:p w14:paraId="74FA1678">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https://doi.org/10.1007/s10804-023-09438-7</w:t>
      </w:r>
    </w:p>
    <w:p w14:paraId="356AC18B">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Kryger, M., &amp; Qvortrup, A. (2025). Conceptualizing and developing vocational identity: A scoping review of research in vocational education and training. </w:t>
      </w:r>
      <w:r>
        <w:rPr>
          <w:rFonts w:hint="default" w:ascii="Cambria" w:hAnsi="Cambria" w:eastAsia="宋体" w:cs="Cambria"/>
          <w:b w:val="0"/>
          <w:i/>
          <w:sz w:val="22"/>
          <w:szCs w:val="22"/>
          <w:lang w:val="en-US" w:eastAsia="zh-CN"/>
        </w:rPr>
        <w:t>Vocations and Learning, 18</w:t>
      </w:r>
      <w:r>
        <w:rPr>
          <w:rFonts w:hint="default" w:ascii="Cambria" w:hAnsi="Cambria" w:eastAsia="宋体" w:cs="Cambria"/>
          <w:b w:val="0"/>
          <w:i w:val="0"/>
          <w:sz w:val="22"/>
          <w:szCs w:val="22"/>
          <w:lang w:val="en-US" w:eastAsia="zh-CN"/>
        </w:rPr>
        <w:t>, Article 15.</w:t>
      </w:r>
    </w:p>
    <w:p w14:paraId="050BABDE">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https://doi.org/10.1007/s12186-025-09371-8</w:t>
      </w:r>
    </w:p>
    <w:p w14:paraId="7AD3244F">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Lee, Y., Kim, Y., Im, S., Lee, E., &amp; Yang, E. (2022). Longitudinal associations between vocational identity process and career goals. </w:t>
      </w:r>
      <w:r>
        <w:rPr>
          <w:rFonts w:hint="default" w:ascii="Cambria" w:hAnsi="Cambria" w:eastAsia="宋体" w:cs="Cambria"/>
          <w:b w:val="0"/>
          <w:i/>
          <w:sz w:val="22"/>
          <w:szCs w:val="22"/>
          <w:lang w:val="en-US" w:eastAsia="zh-CN"/>
        </w:rPr>
        <w:t>Journal of Career Development, 49</w:t>
      </w:r>
      <w:r>
        <w:rPr>
          <w:rFonts w:hint="default" w:ascii="Cambria" w:hAnsi="Cambria" w:eastAsia="宋体" w:cs="Cambria"/>
          <w:b w:val="0"/>
          <w:i w:val="0"/>
          <w:sz w:val="22"/>
          <w:szCs w:val="22"/>
          <w:lang w:val="en-US" w:eastAsia="zh-CN"/>
        </w:rPr>
        <w:t>(3), 569–584.</w:t>
      </w:r>
    </w:p>
    <w:p w14:paraId="593A59A6">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https://doi.org/10.1177/0894845320955237</w:t>
      </w:r>
    </w:p>
    <w:p w14:paraId="61B3549D">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Li, M., Zhang, S., &amp; Zhang, L.-F. (2024). Vocational college students’ vocational identity and self-esteem: Dynamics obtained from latent change score modeling. </w:t>
      </w:r>
      <w:r>
        <w:rPr>
          <w:rFonts w:hint="default" w:ascii="Cambria" w:hAnsi="Cambria" w:eastAsia="宋体" w:cs="Cambria"/>
          <w:b w:val="0"/>
          <w:i/>
          <w:sz w:val="22"/>
          <w:szCs w:val="22"/>
          <w:lang w:val="en-US" w:eastAsia="zh-CN"/>
        </w:rPr>
        <w:t>Personality and Individual Differences, 229</w:t>
      </w:r>
      <w:r>
        <w:rPr>
          <w:rFonts w:hint="default" w:ascii="Cambria" w:hAnsi="Cambria" w:eastAsia="宋体" w:cs="Cambria"/>
          <w:b w:val="0"/>
          <w:i w:val="0"/>
          <w:sz w:val="22"/>
          <w:szCs w:val="22"/>
          <w:lang w:val="en-US" w:eastAsia="zh-CN"/>
        </w:rPr>
        <w:t>, Article 112746.</w:t>
      </w:r>
    </w:p>
    <w:p w14:paraId="443E72A8">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https://doi.org/10.1016/j.paid.2024.112746</w:t>
      </w:r>
    </w:p>
    <w:p w14:paraId="5E18AA60">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Liu, H., Yang, Y., &amp; Liu, X. (2023). Chinese normal university students: Policy evolution, current situation, and future development. </w:t>
      </w:r>
      <w:r>
        <w:rPr>
          <w:rFonts w:hint="default" w:ascii="Cambria" w:hAnsi="Cambria" w:eastAsia="宋体" w:cs="Cambria"/>
          <w:b w:val="0"/>
          <w:i/>
          <w:sz w:val="22"/>
          <w:szCs w:val="22"/>
          <w:lang w:val="en-US" w:eastAsia="zh-CN"/>
        </w:rPr>
        <w:t>Journal of South China Normal University (Social Science Edition)</w:t>
      </w:r>
      <w:r>
        <w:rPr>
          <w:rFonts w:hint="default" w:ascii="Cambria" w:hAnsi="Cambria" w:eastAsia="宋体" w:cs="Cambria"/>
          <w:b w:val="0"/>
          <w:i w:val="0"/>
          <w:sz w:val="22"/>
          <w:szCs w:val="22"/>
          <w:lang w:val="en-US" w:eastAsia="zh-CN"/>
        </w:rPr>
        <w:t>, (5), 119–133.</w:t>
      </w:r>
    </w:p>
    <w:p w14:paraId="13B5D089">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Merino-Tejedor, E., Hontangas-Beltrán, P. M., &amp; Pérez-González, J. C. (2024). Construcción de la carrera e inteligencia emocional como antecedentes de identidad vocacional [Career construction and emotional intelligence as antecedents of vocational identity]. </w:t>
      </w:r>
      <w:r>
        <w:rPr>
          <w:rFonts w:hint="default" w:ascii="Cambria" w:hAnsi="Cambria" w:eastAsia="宋体" w:cs="Cambria"/>
          <w:b w:val="0"/>
          <w:i/>
          <w:sz w:val="22"/>
          <w:szCs w:val="22"/>
          <w:lang w:val="en-US" w:eastAsia="zh-CN"/>
        </w:rPr>
        <w:t>Educación XX1, 27</w:t>
      </w:r>
      <w:r>
        <w:rPr>
          <w:rFonts w:hint="default" w:ascii="Cambria" w:hAnsi="Cambria" w:eastAsia="宋体" w:cs="Cambria"/>
          <w:b w:val="0"/>
          <w:i w:val="0"/>
          <w:sz w:val="22"/>
          <w:szCs w:val="22"/>
          <w:lang w:val="en-US" w:eastAsia="zh-CN"/>
        </w:rPr>
        <w:t>(1), 157–183.</w:t>
      </w:r>
    </w:p>
    <w:p w14:paraId="24E93007">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https://doi.org/10.5944/educxx1.36591</w:t>
      </w:r>
    </w:p>
    <w:p w14:paraId="1D0A63B7">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Merino-Tejedor, E., Serrano-Fernández, M. J., Boada-Cuerva, M., &amp; Sora, B. (2025). Career adaptability and career construction as mediating variables between hardiness and vocational identity. </w:t>
      </w:r>
      <w:r>
        <w:rPr>
          <w:rFonts w:hint="default" w:ascii="Cambria" w:hAnsi="Cambria" w:eastAsia="宋体" w:cs="Cambria"/>
          <w:b w:val="0"/>
          <w:i/>
          <w:sz w:val="22"/>
          <w:szCs w:val="22"/>
          <w:lang w:val="en-US" w:eastAsia="zh-CN"/>
        </w:rPr>
        <w:t>International Journal for Research in Vocational Education and Training, 12</w:t>
      </w:r>
      <w:r>
        <w:rPr>
          <w:rFonts w:hint="default" w:ascii="Cambria" w:hAnsi="Cambria" w:eastAsia="宋体" w:cs="Cambria"/>
          <w:b w:val="0"/>
          <w:i w:val="0"/>
          <w:sz w:val="22"/>
          <w:szCs w:val="22"/>
          <w:lang w:val="en-US" w:eastAsia="zh-CN"/>
        </w:rPr>
        <w:t>(1), 127–150.</w:t>
      </w:r>
    </w:p>
    <w:p w14:paraId="62DBD34C">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https://doi.org/10.13152/ijrvet.12.1.6</w:t>
      </w:r>
    </w:p>
    <w:p w14:paraId="1C3A4461">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Ministry of Education of the People’s Republic of China. (2012). </w:t>
      </w:r>
      <w:r>
        <w:rPr>
          <w:rFonts w:hint="default" w:ascii="Cambria" w:hAnsi="Cambria" w:eastAsia="宋体" w:cs="Cambria"/>
          <w:b w:val="0"/>
          <w:i/>
          <w:sz w:val="22"/>
          <w:szCs w:val="22"/>
          <w:lang w:val="en-US" w:eastAsia="zh-CN"/>
        </w:rPr>
        <w:t>Notice on issuing the Professional Standards for Kindergarten Teachers (Trial), Professional Standards for Primary School Teachers (Trial), and Professional Standards for Middle School Teachers (Trial).</w:t>
      </w:r>
    </w:p>
    <w:p w14:paraId="59F7E2CC">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http://www.moe.gov.cn/srcsite/A10/s6991/201209/t20120913_145603.html</w:t>
      </w:r>
    </w:p>
    <w:p w14:paraId="3823C05E">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OECD. (2025). </w:t>
      </w:r>
      <w:r>
        <w:rPr>
          <w:rFonts w:hint="default" w:ascii="Cambria" w:hAnsi="Cambria" w:eastAsia="宋体" w:cs="Cambria"/>
          <w:b w:val="0"/>
          <w:i/>
          <w:sz w:val="22"/>
          <w:szCs w:val="22"/>
          <w:lang w:val="en-US" w:eastAsia="zh-CN"/>
        </w:rPr>
        <w:t>Results from TALIS 2024: The state of teaching</w:t>
      </w:r>
      <w:r>
        <w:rPr>
          <w:rFonts w:hint="default" w:ascii="Cambria" w:hAnsi="Cambria" w:eastAsia="宋体" w:cs="Cambria"/>
          <w:b w:val="0"/>
          <w:i w:val="0"/>
          <w:sz w:val="22"/>
          <w:szCs w:val="22"/>
          <w:lang w:val="en-US" w:eastAsia="zh-CN"/>
        </w:rPr>
        <w:t>. OECD Publishing.</w:t>
      </w:r>
    </w:p>
    <w:p w14:paraId="3D5A9652">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https://doi.org/10.1787/90df6235-en</w:t>
      </w:r>
    </w:p>
    <w:p w14:paraId="536DA732">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Ofsted. (2025, September 10). </w:t>
      </w:r>
      <w:r>
        <w:rPr>
          <w:rFonts w:hint="default" w:ascii="Cambria" w:hAnsi="Cambria" w:eastAsia="宋体" w:cs="Cambria"/>
          <w:b w:val="0"/>
          <w:i/>
          <w:sz w:val="22"/>
          <w:szCs w:val="22"/>
          <w:lang w:val="en-US" w:eastAsia="zh-CN"/>
        </w:rPr>
        <w:t>Initial teacher education (ITE) inspection framework: For use from January 2026</w:t>
      </w:r>
      <w:r>
        <w:rPr>
          <w:rFonts w:hint="default" w:ascii="Cambria" w:hAnsi="Cambria" w:eastAsia="宋体" w:cs="Cambria"/>
          <w:b w:val="0"/>
          <w:i w:val="0"/>
          <w:sz w:val="22"/>
          <w:szCs w:val="22"/>
          <w:lang w:val="en-US" w:eastAsia="zh-CN"/>
        </w:rPr>
        <w:t>. GOV.UK.</w:t>
      </w:r>
    </w:p>
    <w:p w14:paraId="46CCFCB7">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https://www.gov.uk/government/publications/initial-teacher-education-ite-inspection-toolkit-operating-guide-and-framework</w:t>
      </w:r>
    </w:p>
    <w:p w14:paraId="003968B7">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Parmentier, M., Pirsoul, T., &amp; Nils, F. (2022). Career adaptability profiles and their relations with emotional and decision-making correlates among Belgian undergraduate students. </w:t>
      </w:r>
      <w:r>
        <w:rPr>
          <w:rFonts w:hint="default" w:ascii="Cambria" w:hAnsi="Cambria" w:eastAsia="宋体" w:cs="Cambria"/>
          <w:b w:val="0"/>
          <w:i/>
          <w:sz w:val="22"/>
          <w:szCs w:val="22"/>
          <w:lang w:val="en-US" w:eastAsia="zh-CN"/>
        </w:rPr>
        <w:t>Journal of Career Development, 49</w:t>
      </w:r>
      <w:r>
        <w:rPr>
          <w:rFonts w:hint="default" w:ascii="Cambria" w:hAnsi="Cambria" w:eastAsia="宋体" w:cs="Cambria"/>
          <w:b w:val="0"/>
          <w:i w:val="0"/>
          <w:sz w:val="22"/>
          <w:szCs w:val="22"/>
          <w:lang w:val="en-US" w:eastAsia="zh-CN"/>
        </w:rPr>
        <w:t>(4), 934–950.</w:t>
      </w:r>
    </w:p>
    <w:p w14:paraId="0292FD7A">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https://doi.org/10.1177/08948453211005553</w:t>
      </w:r>
    </w:p>
    <w:p w14:paraId="2A47FF80">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Pirsoul, T., Parmentier, M., Sovet, L., &amp; Nils, F. (2023). Emotional intelligence and career-related outcomes: A meta-analysis. </w:t>
      </w:r>
      <w:r>
        <w:rPr>
          <w:rFonts w:hint="default" w:ascii="Cambria" w:hAnsi="Cambria" w:eastAsia="宋体" w:cs="Cambria"/>
          <w:b w:val="0"/>
          <w:i/>
          <w:sz w:val="22"/>
          <w:szCs w:val="22"/>
          <w:lang w:val="en-US" w:eastAsia="zh-CN"/>
        </w:rPr>
        <w:t>Human Resource Management Review, 33</w:t>
      </w:r>
      <w:r>
        <w:rPr>
          <w:rFonts w:hint="default" w:ascii="Cambria" w:hAnsi="Cambria" w:eastAsia="宋体" w:cs="Cambria"/>
          <w:b w:val="0"/>
          <w:i w:val="0"/>
          <w:sz w:val="22"/>
          <w:szCs w:val="22"/>
          <w:lang w:val="en-US" w:eastAsia="zh-CN"/>
        </w:rPr>
        <w:t>(3), Article 100967.</w:t>
      </w:r>
    </w:p>
    <w:p w14:paraId="277BF155">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https://doi.org/10.1016/j.hrmr.2023.100967</w:t>
      </w:r>
    </w:p>
    <w:p w14:paraId="5FD39A83">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Podsakoff, P. M., Podsakoff, N. P., Williams, L. J., Huang, C., &amp; Yang, J. (2024). Common method bias: It’s bad, it’s complex, it’s widespread, and it’s not easy to fix. </w:t>
      </w:r>
      <w:r>
        <w:rPr>
          <w:rFonts w:hint="default" w:ascii="Cambria" w:hAnsi="Cambria" w:eastAsia="宋体" w:cs="Cambria"/>
          <w:b w:val="0"/>
          <w:i/>
          <w:sz w:val="22"/>
          <w:szCs w:val="22"/>
          <w:lang w:val="en-US" w:eastAsia="zh-CN"/>
        </w:rPr>
        <w:t>Annual Review of Organizational Psychology and Organizational Behavior, 11</w:t>
      </w:r>
      <w:r>
        <w:rPr>
          <w:rFonts w:hint="default" w:ascii="Cambria" w:hAnsi="Cambria" w:eastAsia="宋体" w:cs="Cambria"/>
          <w:b w:val="0"/>
          <w:i w:val="0"/>
          <w:sz w:val="22"/>
          <w:szCs w:val="22"/>
          <w:lang w:val="en-US" w:eastAsia="zh-CN"/>
        </w:rPr>
        <w:t>, 17–61.</w:t>
      </w:r>
    </w:p>
    <w:p w14:paraId="3AE0E245">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https://doi.org/10.1146/annurev-orgpsych-110721-040030</w:t>
      </w:r>
    </w:p>
    <w:p w14:paraId="109EBD3C">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Porfeli, E. J., Lee, B., Vondracek, F. W., &amp; Weigold, I. K. (2011). A multi-dimensional measure of vocational identity status. </w:t>
      </w:r>
      <w:r>
        <w:rPr>
          <w:rFonts w:hint="default" w:ascii="Cambria" w:hAnsi="Cambria" w:eastAsia="宋体" w:cs="Cambria"/>
          <w:b w:val="0"/>
          <w:i/>
          <w:sz w:val="22"/>
          <w:szCs w:val="22"/>
          <w:lang w:val="en-US" w:eastAsia="zh-CN"/>
        </w:rPr>
        <w:t>Journal of Adolescence, 34</w:t>
      </w:r>
      <w:r>
        <w:rPr>
          <w:rFonts w:hint="default" w:ascii="Cambria" w:hAnsi="Cambria" w:eastAsia="宋体" w:cs="Cambria"/>
          <w:b w:val="0"/>
          <w:i w:val="0"/>
          <w:sz w:val="22"/>
          <w:szCs w:val="22"/>
          <w:lang w:val="en-US" w:eastAsia="zh-CN"/>
        </w:rPr>
        <w:t>(5), 853–871.</w:t>
      </w:r>
    </w:p>
    <w:p w14:paraId="5D3522B2">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https://doi.org/10.1016/j.adolescence.2011.02.001</w:t>
      </w:r>
    </w:p>
    <w:p w14:paraId="3EAD1EE0">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Salovey, P., &amp; Mayer, J. D. (1990). Emotional intelligence. </w:t>
      </w:r>
      <w:r>
        <w:rPr>
          <w:rFonts w:hint="default" w:ascii="Cambria" w:hAnsi="Cambria" w:eastAsia="宋体" w:cs="Cambria"/>
          <w:b w:val="0"/>
          <w:i/>
          <w:sz w:val="22"/>
          <w:szCs w:val="22"/>
          <w:lang w:val="en-US" w:eastAsia="zh-CN"/>
        </w:rPr>
        <w:t>Imagination, Cognition and Personality, 9</w:t>
      </w:r>
      <w:r>
        <w:rPr>
          <w:rFonts w:hint="default" w:ascii="Cambria" w:hAnsi="Cambria" w:eastAsia="宋体" w:cs="Cambria"/>
          <w:b w:val="0"/>
          <w:i w:val="0"/>
          <w:sz w:val="22"/>
          <w:szCs w:val="22"/>
          <w:lang w:val="en-US" w:eastAsia="zh-CN"/>
        </w:rPr>
        <w:t>(3), 185–211.</w:t>
      </w:r>
    </w:p>
    <w:p w14:paraId="59ADEFE1">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Savickas, M. L. (1994). Convergence prompts theory renovation, research unification, and practice coherence. In M. L. Savickas &amp; R. W. Lent (Eds.), </w:t>
      </w:r>
      <w:r>
        <w:rPr>
          <w:rFonts w:hint="default" w:ascii="Cambria" w:hAnsi="Cambria" w:eastAsia="宋体" w:cs="Cambria"/>
          <w:b w:val="0"/>
          <w:i/>
          <w:sz w:val="22"/>
          <w:szCs w:val="22"/>
          <w:lang w:val="en-US" w:eastAsia="zh-CN"/>
        </w:rPr>
        <w:t>Convergence in career development theories: Implications for science and practice</w:t>
      </w:r>
      <w:r>
        <w:rPr>
          <w:rFonts w:hint="default" w:ascii="Cambria" w:hAnsi="Cambria" w:eastAsia="宋体" w:cs="Cambria"/>
          <w:b w:val="0"/>
          <w:i w:val="0"/>
          <w:sz w:val="22"/>
          <w:szCs w:val="22"/>
          <w:lang w:val="en-US" w:eastAsia="zh-CN"/>
        </w:rPr>
        <w:t xml:space="preserve"> (pp. 235–257). Consulting Psychologists Press.</w:t>
      </w:r>
    </w:p>
    <w:p w14:paraId="1A72E04A">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Savickas, M. L. (2002). Career construction: A developmental theory of vocational behavior. In D. Brown (Ed.), </w:t>
      </w:r>
      <w:r>
        <w:rPr>
          <w:rFonts w:hint="default" w:ascii="Cambria" w:hAnsi="Cambria" w:eastAsia="宋体" w:cs="Cambria"/>
          <w:b w:val="0"/>
          <w:i/>
          <w:sz w:val="22"/>
          <w:szCs w:val="22"/>
          <w:lang w:val="en-US" w:eastAsia="zh-CN"/>
        </w:rPr>
        <w:t>Career choice and development</w:t>
      </w:r>
      <w:r>
        <w:rPr>
          <w:rFonts w:hint="default" w:ascii="Cambria" w:hAnsi="Cambria" w:eastAsia="宋体" w:cs="Cambria"/>
          <w:b w:val="0"/>
          <w:i w:val="0"/>
          <w:sz w:val="22"/>
          <w:szCs w:val="22"/>
          <w:lang w:val="en-US" w:eastAsia="zh-CN"/>
        </w:rPr>
        <w:t xml:space="preserve"> (4th ed., pp. 149–205). Jossey-Bass.</w:t>
      </w:r>
    </w:p>
    <w:p w14:paraId="06C8B946">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Savickas, M. L. (2005). The theory and practice of career construction. In S. D. Brown &amp; R. W. Lent (Eds.), </w:t>
      </w:r>
      <w:r>
        <w:rPr>
          <w:rFonts w:hint="default" w:ascii="Cambria" w:hAnsi="Cambria" w:eastAsia="宋体" w:cs="Cambria"/>
          <w:b w:val="0"/>
          <w:i/>
          <w:sz w:val="22"/>
          <w:szCs w:val="22"/>
          <w:lang w:val="en-US" w:eastAsia="zh-CN"/>
        </w:rPr>
        <w:t>Career development and counseling: Putting theory and research to work</w:t>
      </w:r>
      <w:r>
        <w:rPr>
          <w:rFonts w:hint="default" w:ascii="Cambria" w:hAnsi="Cambria" w:eastAsia="宋体" w:cs="Cambria"/>
          <w:b w:val="0"/>
          <w:i w:val="0"/>
          <w:sz w:val="22"/>
          <w:szCs w:val="22"/>
          <w:lang w:val="en-US" w:eastAsia="zh-CN"/>
        </w:rPr>
        <w:t xml:space="preserve"> (pp. 42–70). John Wiley &amp; Sons.</w:t>
      </w:r>
    </w:p>
    <w:p w14:paraId="6D6E18B0">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Savickas, M. L. (2013). Career construction theory and practice. In S. D. Brown &amp; R. W. Lent (Eds.), </w:t>
      </w:r>
      <w:r>
        <w:rPr>
          <w:rFonts w:hint="default" w:ascii="Cambria" w:hAnsi="Cambria" w:eastAsia="宋体" w:cs="Cambria"/>
          <w:b w:val="0"/>
          <w:i/>
          <w:sz w:val="22"/>
          <w:szCs w:val="22"/>
          <w:lang w:val="en-US" w:eastAsia="zh-CN"/>
        </w:rPr>
        <w:t>Career development and counseling: Putting theory and research to work</w:t>
      </w:r>
      <w:r>
        <w:rPr>
          <w:rFonts w:hint="default" w:ascii="Cambria" w:hAnsi="Cambria" w:eastAsia="宋体" w:cs="Cambria"/>
          <w:b w:val="0"/>
          <w:i w:val="0"/>
          <w:sz w:val="22"/>
          <w:szCs w:val="22"/>
          <w:lang w:val="en-US" w:eastAsia="zh-CN"/>
        </w:rPr>
        <w:t xml:space="preserve"> (2nd ed., pp. 147–183). John Wiley &amp; Sons.</w:t>
      </w:r>
    </w:p>
    <w:p w14:paraId="6313445F">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Savickas, M. L. (2021). Career construction theory and counseling model. In S. D. Brown &amp; R. W. Lent (Eds.), </w:t>
      </w:r>
      <w:r>
        <w:rPr>
          <w:rFonts w:hint="default" w:ascii="Cambria" w:hAnsi="Cambria" w:eastAsia="宋体" w:cs="Cambria"/>
          <w:b w:val="0"/>
          <w:i/>
          <w:sz w:val="22"/>
          <w:szCs w:val="22"/>
          <w:lang w:val="en-US" w:eastAsia="zh-CN"/>
        </w:rPr>
        <w:t>Career development and counseling: Putting theory and research to work</w:t>
      </w:r>
      <w:r>
        <w:rPr>
          <w:rFonts w:hint="default" w:ascii="Cambria" w:hAnsi="Cambria" w:eastAsia="宋体" w:cs="Cambria"/>
          <w:b w:val="0"/>
          <w:i w:val="0"/>
          <w:sz w:val="22"/>
          <w:szCs w:val="22"/>
          <w:lang w:val="en-US" w:eastAsia="zh-CN"/>
        </w:rPr>
        <w:t xml:space="preserve"> (3rd ed., pp. 165–199). John Wiley &amp; Sons.</w:t>
      </w:r>
    </w:p>
    <w:p w14:paraId="3230756E">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Savickas, M. L., Porfeli, E. J., Hilton, T. L., &amp; Savickas, S. (2018). The Student Career Construction Inventory. </w:t>
      </w:r>
      <w:r>
        <w:rPr>
          <w:rFonts w:hint="default" w:ascii="Cambria" w:hAnsi="Cambria" w:eastAsia="宋体" w:cs="Cambria"/>
          <w:b w:val="0"/>
          <w:i/>
          <w:sz w:val="22"/>
          <w:szCs w:val="22"/>
          <w:lang w:val="en-US" w:eastAsia="zh-CN"/>
        </w:rPr>
        <w:t>Journal of Vocational Behavior, 106</w:t>
      </w:r>
      <w:r>
        <w:rPr>
          <w:rFonts w:hint="default" w:ascii="Cambria" w:hAnsi="Cambria" w:eastAsia="宋体" w:cs="Cambria"/>
          <w:b w:val="0"/>
          <w:i w:val="0"/>
          <w:sz w:val="22"/>
          <w:szCs w:val="22"/>
          <w:lang w:val="en-US" w:eastAsia="zh-CN"/>
        </w:rPr>
        <w:t>, 138–152.</w:t>
      </w:r>
    </w:p>
    <w:p w14:paraId="37E77388">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https://doi.org/10.1016/j.jvb.2018.01.009</w:t>
      </w:r>
    </w:p>
    <w:p w14:paraId="7BE5F3FC">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Schutte, N. S., Malouff, J. M., &amp; Bhullar, N. (2009). The Assessing Emotions Scale. In J. D. A. Parker, D. H. Saklofske, &amp; C. Stough (Eds.), </w:t>
      </w:r>
      <w:r>
        <w:rPr>
          <w:rFonts w:hint="default" w:ascii="Cambria" w:hAnsi="Cambria" w:eastAsia="宋体" w:cs="Cambria"/>
          <w:b w:val="0"/>
          <w:i/>
          <w:sz w:val="22"/>
          <w:szCs w:val="22"/>
          <w:lang w:val="en-US" w:eastAsia="zh-CN"/>
        </w:rPr>
        <w:t>Assessing emotional intelligence: Theory, research, and applications</w:t>
      </w:r>
      <w:r>
        <w:rPr>
          <w:rFonts w:hint="default" w:ascii="Cambria" w:hAnsi="Cambria" w:eastAsia="宋体" w:cs="Cambria"/>
          <w:b w:val="0"/>
          <w:i w:val="0"/>
          <w:sz w:val="22"/>
          <w:szCs w:val="22"/>
          <w:lang w:val="en-US" w:eastAsia="zh-CN"/>
        </w:rPr>
        <w:t xml:space="preserve"> (pp. 119–134). Springer.</w:t>
      </w:r>
    </w:p>
    <w:p w14:paraId="34CF2D00">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https://doi.org/10.1007/978-0-387-88370-0_7</w:t>
      </w:r>
    </w:p>
    <w:p w14:paraId="735B8100">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Schutte, N. S., Malouff, J. M., Hall, L. E., Haggerty, D. J., Cooper, J. T., Golden, C. J., &amp; Dornheim, L. (1998). Development and validation of a measure of emotional intelligence. </w:t>
      </w:r>
      <w:r>
        <w:rPr>
          <w:rFonts w:hint="default" w:ascii="Cambria" w:hAnsi="Cambria" w:eastAsia="宋体" w:cs="Cambria"/>
          <w:b w:val="0"/>
          <w:i/>
          <w:sz w:val="22"/>
          <w:szCs w:val="22"/>
          <w:lang w:val="en-US" w:eastAsia="zh-CN"/>
        </w:rPr>
        <w:t>Personality and Individual Differences, 25</w:t>
      </w:r>
      <w:r>
        <w:rPr>
          <w:rFonts w:hint="default" w:ascii="Cambria" w:hAnsi="Cambria" w:eastAsia="宋体" w:cs="Cambria"/>
          <w:b w:val="0"/>
          <w:i w:val="0"/>
          <w:sz w:val="22"/>
          <w:szCs w:val="22"/>
          <w:lang w:val="en-US" w:eastAsia="zh-CN"/>
        </w:rPr>
        <w:t>(2), 167–177.</w:t>
      </w:r>
    </w:p>
    <w:p w14:paraId="7F1BD252">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https://doi.org/10.1016/S0191-8869(98)00001-4</w:t>
      </w:r>
    </w:p>
    <w:p w14:paraId="277A94DF">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Turner, K., &amp; Stough, C. (2020). Pre-service teachers and emotional intelligence: A scoping review. </w:t>
      </w:r>
      <w:r>
        <w:rPr>
          <w:rFonts w:hint="default" w:ascii="Cambria" w:hAnsi="Cambria" w:eastAsia="宋体" w:cs="Cambria"/>
          <w:b w:val="0"/>
          <w:i/>
          <w:sz w:val="22"/>
          <w:szCs w:val="22"/>
          <w:lang w:val="en-US" w:eastAsia="zh-CN"/>
        </w:rPr>
        <w:t>The Australian Educational Researcher, 47</w:t>
      </w:r>
      <w:r>
        <w:rPr>
          <w:rFonts w:hint="default" w:ascii="Cambria" w:hAnsi="Cambria" w:eastAsia="宋体" w:cs="Cambria"/>
          <w:b w:val="0"/>
          <w:i w:val="0"/>
          <w:sz w:val="22"/>
          <w:szCs w:val="22"/>
          <w:lang w:val="en-US" w:eastAsia="zh-CN"/>
        </w:rPr>
        <w:t>, 283–305.</w:t>
      </w:r>
    </w:p>
    <w:p w14:paraId="13330B67">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https://doi.org/10.1007/s13384-019-00352-0</w:t>
      </w:r>
    </w:p>
    <w:p w14:paraId="5F245E8D">
      <w:pPr>
        <w:keepNext w:val="0"/>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Wang, C.-K. (2002). The relationship between emotional intelligence and anxiety, depression and mood in a sample of college students. </w:t>
      </w:r>
      <w:r>
        <w:rPr>
          <w:rFonts w:hint="default" w:ascii="Cambria" w:hAnsi="Cambria" w:eastAsia="宋体" w:cs="Cambria"/>
          <w:b w:val="0"/>
          <w:i/>
          <w:sz w:val="22"/>
          <w:szCs w:val="22"/>
          <w:lang w:val="en-US" w:eastAsia="zh-CN"/>
        </w:rPr>
        <w:t>Chinese Journal of Clinical Psychology, 10</w:t>
      </w:r>
      <w:r>
        <w:rPr>
          <w:rFonts w:hint="default" w:ascii="Cambria" w:hAnsi="Cambria" w:eastAsia="宋体" w:cs="Cambria"/>
          <w:b w:val="0"/>
          <w:i w:val="0"/>
          <w:sz w:val="22"/>
          <w:szCs w:val="22"/>
          <w:lang w:val="en-US" w:eastAsia="zh-CN"/>
        </w:rPr>
        <w:t>(4), 298–299.</w:t>
      </w:r>
    </w:p>
    <w:p w14:paraId="456B20E8">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Weigold, A., Weigold, I. K., Gregor, M. A., &amp; Thornton, E. M. (2021). Factor structure of the Vocational Identity Status Assessment (VISA) in university, liberal arts, and community college students. </w:t>
      </w:r>
      <w:r>
        <w:rPr>
          <w:rFonts w:hint="default" w:ascii="Cambria" w:hAnsi="Cambria" w:eastAsia="宋体" w:cs="Cambria"/>
          <w:b w:val="0"/>
          <w:i/>
          <w:sz w:val="22"/>
          <w:szCs w:val="22"/>
          <w:lang w:val="en-US" w:eastAsia="zh-CN"/>
        </w:rPr>
        <w:t>Journal of Career Assessment, 29</w:t>
      </w:r>
      <w:r>
        <w:rPr>
          <w:rFonts w:hint="default" w:ascii="Cambria" w:hAnsi="Cambria" w:eastAsia="宋体" w:cs="Cambria"/>
          <w:b w:val="0"/>
          <w:i w:val="0"/>
          <w:sz w:val="22"/>
          <w:szCs w:val="22"/>
          <w:lang w:val="en-US" w:eastAsia="zh-CN"/>
        </w:rPr>
        <w:t>(2), 355–373.</w:t>
      </w:r>
    </w:p>
    <w:p w14:paraId="2EC4BC04">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https://doi.org/10.1177/1069072720975278</w:t>
      </w:r>
    </w:p>
    <w:p w14:paraId="1D877CA6">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Wu, W., Wu, Y., Song, G., Zhang, L., &amp; Song, H. (2025). Choosing to teach: Career aspirations among student teachers in Chinese normal universities and colleges. </w:t>
      </w:r>
      <w:r>
        <w:rPr>
          <w:rFonts w:hint="default" w:ascii="Cambria" w:hAnsi="Cambria" w:eastAsia="宋体" w:cs="Cambria"/>
          <w:b w:val="0"/>
          <w:i/>
          <w:sz w:val="22"/>
          <w:szCs w:val="22"/>
          <w:lang w:val="en-US" w:eastAsia="zh-CN"/>
        </w:rPr>
        <w:t>Teaching and Teacher Education, 155</w:t>
      </w:r>
      <w:r>
        <w:rPr>
          <w:rFonts w:hint="default" w:ascii="Cambria" w:hAnsi="Cambria" w:eastAsia="宋体" w:cs="Cambria"/>
          <w:b w:val="0"/>
          <w:i w:val="0"/>
          <w:sz w:val="22"/>
          <w:szCs w:val="22"/>
          <w:lang w:val="en-US" w:eastAsia="zh-CN"/>
        </w:rPr>
        <w:t>, Article 104880.</w:t>
      </w:r>
    </w:p>
    <w:p w14:paraId="407EBA74">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https://doi.org/10.1016/j.tate.2024.104880</w:t>
      </w:r>
    </w:p>
    <w:p w14:paraId="51756DDF">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Yılmaz, O. (2026). Linking career construction styles to career adaptability among university students: A canonical correlation analysis. </w:t>
      </w:r>
      <w:r>
        <w:rPr>
          <w:rFonts w:hint="default" w:ascii="Cambria" w:hAnsi="Cambria" w:eastAsia="宋体" w:cs="Cambria"/>
          <w:b w:val="0"/>
          <w:i/>
          <w:sz w:val="22"/>
          <w:szCs w:val="22"/>
          <w:lang w:val="en-US" w:eastAsia="zh-CN"/>
        </w:rPr>
        <w:t>BMC Psychology, 14</w:t>
      </w:r>
      <w:r>
        <w:rPr>
          <w:rFonts w:hint="default" w:ascii="Cambria" w:hAnsi="Cambria" w:eastAsia="宋体" w:cs="Cambria"/>
          <w:b w:val="0"/>
          <w:i w:val="0"/>
          <w:sz w:val="22"/>
          <w:szCs w:val="22"/>
          <w:lang w:val="en-US" w:eastAsia="zh-CN"/>
        </w:rPr>
        <w:t>, Article 413.</w:t>
      </w:r>
    </w:p>
    <w:p w14:paraId="6CB62153">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https://doi.org/10.1186/s40359-026-04391-y</w:t>
      </w:r>
    </w:p>
    <w:p w14:paraId="59BB543A">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Yuan, W., Xu, T., Liu, M., &amp; Hu, B. (2022). Vocational identity status in Chinese emerging adults with and without hearing impairment: Latent profiles and relationships with self-esteem and subjective well-being. </w:t>
      </w:r>
      <w:r>
        <w:rPr>
          <w:rFonts w:hint="default" w:ascii="Cambria" w:hAnsi="Cambria" w:eastAsia="宋体" w:cs="Cambria"/>
          <w:b w:val="0"/>
          <w:i/>
          <w:sz w:val="22"/>
          <w:szCs w:val="22"/>
          <w:lang w:val="en-US" w:eastAsia="zh-CN"/>
        </w:rPr>
        <w:t>International Journal of Environmental Research and Public Health, 19</w:t>
      </w:r>
      <w:r>
        <w:rPr>
          <w:rFonts w:hint="default" w:ascii="Cambria" w:hAnsi="Cambria" w:eastAsia="宋体" w:cs="Cambria"/>
          <w:b w:val="0"/>
          <w:i w:val="0"/>
          <w:sz w:val="22"/>
          <w:szCs w:val="22"/>
          <w:lang w:val="en-US" w:eastAsia="zh-CN"/>
        </w:rPr>
        <w:t>(21), Article 14473.</w:t>
      </w:r>
    </w:p>
    <w:p w14:paraId="34832520">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https://doi.org/10.3390/ijerph192114473</w:t>
      </w:r>
    </w:p>
    <w:p w14:paraId="5A189084">
      <w:pPr>
        <w:keepNext/>
        <w:keepLines/>
        <w:pageBreakBefore w:val="0"/>
        <w:widowControl/>
        <w:kinsoku w:val="0"/>
        <w:wordWrap/>
        <w:overflowPunct/>
        <w:topLinePunct w:val="0"/>
        <w:autoSpaceDE w:val="0"/>
        <w:autoSpaceDN w:val="0"/>
        <w:bidi w:val="0"/>
        <w:adjustRightInd w:val="0"/>
        <w:snapToGrid w:val="0"/>
        <w:spacing w:before="0" w:after="0" w:line="240" w:lineRule="auto"/>
        <w:ind w:left="720" w:hanging="720"/>
        <w:jc w:val="both"/>
        <w:textAlignment w:val="baseline"/>
        <w:rPr>
          <w:rFonts w:hint="default" w:ascii="Cambria" w:hAnsi="Cambria" w:cs="Cambria"/>
          <w:sz w:val="22"/>
          <w:szCs w:val="22"/>
        </w:rPr>
      </w:pPr>
      <w:r>
        <w:rPr>
          <w:rFonts w:hint="default" w:ascii="Cambria" w:hAnsi="Cambria" w:eastAsia="宋体" w:cs="Cambria"/>
          <w:b w:val="0"/>
          <w:i w:val="0"/>
          <w:sz w:val="22"/>
          <w:szCs w:val="22"/>
          <w:lang w:val="en-US" w:eastAsia="zh-CN"/>
        </w:rPr>
        <w:t xml:space="preserve">Zhang, J., Chen, G., &amp; Yuen, M. (2019). Validation of the Vocational Identity Status Assessment (VISA) using Chinese technical college students. </w:t>
      </w:r>
      <w:r>
        <w:rPr>
          <w:rFonts w:hint="default" w:ascii="Cambria" w:hAnsi="Cambria" w:eastAsia="宋体" w:cs="Cambria"/>
          <w:b w:val="0"/>
          <w:i/>
          <w:sz w:val="22"/>
          <w:szCs w:val="22"/>
          <w:lang w:val="en-US" w:eastAsia="zh-CN"/>
        </w:rPr>
        <w:t>Journal of Career Assessment, 27</w:t>
      </w:r>
      <w:r>
        <w:rPr>
          <w:rFonts w:hint="default" w:ascii="Cambria" w:hAnsi="Cambria" w:eastAsia="宋体" w:cs="Cambria"/>
          <w:b w:val="0"/>
          <w:i w:val="0"/>
          <w:sz w:val="22"/>
          <w:szCs w:val="22"/>
          <w:lang w:val="en-US" w:eastAsia="zh-CN"/>
        </w:rPr>
        <w:t>(4), 675–692.</w:t>
      </w:r>
    </w:p>
    <w:p w14:paraId="4FDE8225">
      <w:pPr>
        <w:keepLines/>
        <w:pageBreakBefore w:val="0"/>
        <w:widowControl/>
        <w:kinsoku w:val="0"/>
        <w:wordWrap/>
        <w:overflowPunct/>
        <w:topLinePunct w:val="0"/>
        <w:autoSpaceDE w:val="0"/>
        <w:autoSpaceDN w:val="0"/>
        <w:bidi w:val="0"/>
        <w:adjustRightInd w:val="0"/>
        <w:snapToGrid w:val="0"/>
        <w:spacing w:before="120" w:after="120" w:line="240" w:lineRule="auto"/>
        <w:ind w:left="720" w:firstLine="0"/>
        <w:jc w:val="both"/>
        <w:textAlignment w:val="baseline"/>
        <w:rPr>
          <w:rFonts w:hint="default" w:ascii="Cambria" w:hAnsi="Cambria" w:cs="Cambria"/>
          <w:sz w:val="22"/>
          <w:szCs w:val="22"/>
        </w:rPr>
      </w:pPr>
      <w:r>
        <w:rPr>
          <w:rFonts w:hint="default" w:ascii="Cambria" w:hAnsi="Cambria" w:eastAsia="宋体" w:cs="Cambria"/>
          <w:b w:val="0"/>
          <w:i w:val="0"/>
          <w:color w:val="0563C1"/>
          <w:sz w:val="22"/>
          <w:szCs w:val="22"/>
          <w:u w:val="single"/>
        </w:rPr>
        <w:t>https://doi.org/10.1177/1069072718808798</w:t>
      </w:r>
    </w:p>
    <w:p w14:paraId="78FC55E9">
      <w:pPr>
        <w:rPr>
          <w:rFonts w:hint="eastAsia"/>
          <w:lang w:val="en-GB"/>
        </w:rPr>
      </w:pPr>
    </w:p>
    <w:sectPr>
      <w:pgSz w:w="12240" w:h="15840"/>
      <w:pgMar w:top="637" w:right="1480" w:bottom="0" w:left="1549"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imes New  Roman">
    <w:altName w:val="Times New Roman"/>
    <w:panose1 w:val="00000000000000000000"/>
    <w:charset w:val="4D"/>
    <w:family w:val="roman"/>
    <w:pitch w:val="default"/>
    <w:sig w:usb0="00000000" w:usb1="00000000" w:usb2="38B00E00" w:usb3="00404000" w:csb0="C0FAFFB7" w:csb1="E803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1ED31EE"/>
    <w:multiLevelType w:val="multilevel"/>
    <w:tmpl w:val="21ED31EE"/>
    <w:lvl w:ilvl="0" w:tentative="0">
      <w:start w:val="1"/>
      <w:numFmt w:val="decimal"/>
      <w:lvlText w:val="%1."/>
      <w:lvlJc w:val="left"/>
      <w:pPr>
        <w:ind w:left="360" w:hanging="360"/>
      </w:pPr>
      <w:rPr>
        <w:rFonts w:hint="default"/>
        <w:b/>
      </w:rPr>
    </w:lvl>
    <w:lvl w:ilvl="1" w:tentative="0">
      <w:start w:val="1"/>
      <w:numFmt w:val="decimal"/>
      <w:isLgl/>
      <w:lvlText w:val="%1.%2"/>
      <w:lvlJc w:val="left"/>
      <w:pPr>
        <w:ind w:left="540" w:hanging="54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720" w:hanging="72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080" w:hanging="108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D336E17"/>
    <w:rsid w:val="0F2A5FF8"/>
    <w:rsid w:val="1C5E5533"/>
    <w:rsid w:val="1E8C391D"/>
    <w:rsid w:val="1EF614DB"/>
    <w:rsid w:val="240D53F7"/>
    <w:rsid w:val="2CBC754E"/>
    <w:rsid w:val="3E907088"/>
    <w:rsid w:val="426F0934"/>
    <w:rsid w:val="4AA93C99"/>
    <w:rsid w:val="6B47356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1"/>
    <w:basedOn w:val="1"/>
    <w:next w:val="1"/>
    <w:qFormat/>
    <w:uiPriority w:val="9"/>
    <w:pPr>
      <w:keepNext/>
      <w:keepLines/>
      <w:spacing w:before="240"/>
      <w:jc w:val="left"/>
      <w:outlineLvl w:val="0"/>
    </w:pPr>
    <w:rPr>
      <w:b/>
      <w:bCs/>
      <w:sz w:val="22"/>
      <w:szCs w:val="28"/>
      <w:lang w:val="en-GB"/>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4">
    <w:name w:val="heading 3"/>
    <w:basedOn w:val="1"/>
    <w:next w:val="1"/>
    <w:unhideWhenUsed/>
    <w:qFormat/>
    <w:uiPriority w:val="9"/>
    <w:pPr>
      <w:keepNext/>
      <w:keepLines/>
      <w:spacing w:before="160" w:after="80"/>
      <w:outlineLvl w:val="2"/>
    </w:pPr>
    <w:rPr>
      <w:rFonts w:asciiTheme="majorHAnsi" w:hAnsiTheme="majorHAnsi" w:eastAsiaTheme="majorEastAsia" w:cstheme="majorBidi"/>
      <w:b/>
      <w:bCs/>
      <w:color w:val="1F4D78"/>
      <w:sz w:val="24"/>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caption"/>
    <w:basedOn w:val="1"/>
    <w:next w:val="1"/>
    <w:semiHidden/>
    <w:unhideWhenUsed/>
    <w:qFormat/>
    <w:uiPriority w:val="35"/>
    <w:pPr>
      <w:spacing w:before="160" w:after="80" w:line="240" w:lineRule="auto"/>
    </w:pPr>
    <w:rPr>
      <w:rFonts w:ascii="Calibri" w:hAnsi="Calibri"/>
      <w:b/>
      <w:bCs/>
      <w:color w:val="172A3A"/>
      <w:sz w:val="20"/>
      <w:szCs w:val="18"/>
    </w:rPr>
  </w:style>
  <w:style w:type="paragraph" w:styleId="6">
    <w:name w:val="Body Text"/>
    <w:basedOn w:val="1"/>
    <w:semiHidden/>
    <w:qFormat/>
    <w:uiPriority w:val="0"/>
    <w:rPr>
      <w:rFonts w:ascii="Times New Roman" w:hAnsi="Times New Roman" w:eastAsia="Times New Roman" w:cs="Times New Roman"/>
      <w:sz w:val="22"/>
      <w:szCs w:val="22"/>
      <w:lang w:val="en-US" w:eastAsia="en-US" w:bidi="ar-SA"/>
    </w:rPr>
  </w:style>
  <w:style w:type="paragraph" w:styleId="7">
    <w:name w:val="endnote text"/>
    <w:basedOn w:val="1"/>
    <w:qFormat/>
    <w:uiPriority w:val="0"/>
    <w:pPr>
      <w:snapToGrid w:val="0"/>
      <w:jc w:val="left"/>
    </w:pPr>
  </w:style>
  <w:style w:type="table" w:styleId="9">
    <w:name w:val="Table Grid"/>
    <w:basedOn w:val="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endnote reference"/>
    <w:basedOn w:val="10"/>
    <w:qFormat/>
    <w:uiPriority w:val="0"/>
    <w:rPr>
      <w:vertAlign w:val="superscript"/>
    </w:rPr>
  </w:style>
  <w:style w:type="character" w:styleId="12">
    <w:name w:val="Hyperlink"/>
    <w:basedOn w:val="10"/>
    <w:qFormat/>
    <w:uiPriority w:val="0"/>
    <w:rPr>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IEEE Author"/>
    <w:basedOn w:val="1"/>
    <w:next w:val="15"/>
    <w:uiPriority w:val="0"/>
    <w:pPr>
      <w:spacing w:after="0"/>
      <w:jc w:val="center"/>
    </w:pPr>
    <w:rPr>
      <w:sz w:val="22"/>
      <w:szCs w:val="20"/>
      <w:lang w:bidi="ar-SA"/>
    </w:rPr>
  </w:style>
  <w:style w:type="paragraph" w:customStyle="1" w:styleId="15">
    <w:name w:val="IEEE Affiliation"/>
    <w:basedOn w:val="1"/>
    <w:uiPriority w:val="0"/>
    <w:pPr>
      <w:spacing w:after="0"/>
      <w:jc w:val="center"/>
    </w:pPr>
    <w:rPr>
      <w:szCs w:val="20"/>
      <w:lang w:bidi="ar-SA"/>
    </w:rPr>
  </w:style>
  <w:style w:type="paragraph" w:customStyle="1" w:styleId="16">
    <w:name w:val="IEEE Abstract"/>
    <w:basedOn w:val="1"/>
    <w:uiPriority w:val="0"/>
    <w:pPr>
      <w:spacing w:line="200" w:lineRule="exact"/>
      <w:ind w:firstLine="288"/>
      <w:jc w:val="left"/>
    </w:pPr>
    <w:rPr>
      <w:rFonts w:ascii="Times New  Roman" w:hAnsi="Times New  Roman"/>
      <w:b/>
      <w:sz w:val="18"/>
      <w:szCs w:val="20"/>
      <w:lang w:bidi="ar-SA"/>
    </w:rPr>
  </w:style>
  <w:style w:type="paragraph" w:customStyle="1" w:styleId="17">
    <w:name w:val="Table Note"/>
    <w:qFormat/>
    <w:uiPriority w:val="0"/>
    <w:pPr>
      <w:spacing w:before="80" w:after="160" w:line="276" w:lineRule="auto"/>
    </w:pPr>
    <w:rPr>
      <w:rFonts w:ascii="Calibri" w:hAnsi="Calibri" w:eastAsiaTheme="minorEastAsia" w:cstheme="minorBidi"/>
      <w:i/>
      <w:color w:val="5C6670"/>
      <w:sz w:val="18"/>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5aa1c50-362f-47d5-9fc2-5ae621042008}">
  <ds:schemaRefs/>
</ds:datastoreItem>
</file>

<file path=docProps/app.xml><?xml version="1.0" encoding="utf-8"?>
<Properties xmlns="http://schemas.openxmlformats.org/officeDocument/2006/extended-properties" xmlns:vt="http://schemas.openxmlformats.org/officeDocument/2006/docPropsVTypes">
  <Pages>13</Pages>
  <Words>4562</Words>
  <Characters>30172</Characters>
  <TotalTime>20</TotalTime>
  <ScaleCrop>false</ScaleCrop>
  <LinksUpToDate>false</LinksUpToDate>
  <CharactersWithSpaces>34667</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2026-08-12T20:20:00Z</dcterms:created>
  <dc:creator>sunxu</dc:creator>
  <cp:lastModifiedBy>sue</cp:lastModifiedBy>
  <dcterms:modified xsi:type="dcterms:W3CDTF">2026-08-13T05:55:26Z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2026-08-12T20:20:24Z</vt:filetime>
  </property>
  <property fmtid="{D5CDD505-2E9C-101B-9397-08002B2CF9AE}" pid="4" name="UsrData">
    <vt:lpwstr>6a7c6507df3d70001fc75860wl</vt:lpwstr>
  </property>
  <property fmtid="{D5CDD505-2E9C-101B-9397-08002B2CF9AE}" pid="5" name="KSOTemplateDocerSaveRecord">
    <vt:lpwstr>eyJoZGlkIjoiNzFkNGU0ZDQ4OGI5YmNiZDkzZmMzZTkxZjk2NDFhOWEiLCJ1c2VySWQiOiIyNDIxMDI1MjAifQ==</vt:lpwstr>
  </property>
  <property fmtid="{D5CDD505-2E9C-101B-9397-08002B2CF9AE}" pid="6" name="KSOProductBuildVer">
    <vt:lpwstr>2052-12.1.0.28043</vt:lpwstr>
  </property>
  <property fmtid="{D5CDD505-2E9C-101B-9397-08002B2CF9AE}" pid="7" name="ICV">
    <vt:lpwstr>9E30F099305942AFA45E96ABA3AC9FEB_13</vt:lpwstr>
  </property>
</Properties>
</file>